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35" w:rsidRPr="007F7C2C" w:rsidRDefault="00801CBE">
      <w:pPr>
        <w:pStyle w:val="Nadpis2"/>
        <w:rPr>
          <w:rFonts w:ascii="Myriad Pro Light" w:hAnsi="Myriad Pro Light"/>
          <w:sz w:val="28"/>
        </w:rPr>
      </w:pPr>
      <w:r w:rsidRPr="007F7C2C">
        <w:rPr>
          <w:rFonts w:ascii="Myriad Pro Light" w:hAnsi="Myriad Pro Light"/>
        </w:rPr>
        <w:t>Návrh z</w:t>
      </w:r>
      <w:r w:rsidR="00D50E61" w:rsidRPr="007F7C2C">
        <w:rPr>
          <w:rFonts w:ascii="Myriad Pro Light" w:hAnsi="Myriad Pro Light"/>
        </w:rPr>
        <w:t>měn</w:t>
      </w:r>
      <w:r w:rsidRPr="007F7C2C">
        <w:rPr>
          <w:rFonts w:ascii="Myriad Pro Light" w:hAnsi="Myriad Pro Light"/>
        </w:rPr>
        <w:t>y</w:t>
      </w:r>
      <w:r w:rsidR="00D50E61" w:rsidRPr="007F7C2C">
        <w:rPr>
          <w:rFonts w:ascii="Myriad Pro Light" w:hAnsi="Myriad Pro Light"/>
        </w:rPr>
        <w:t xml:space="preserve"> stanov</w:t>
      </w:r>
    </w:p>
    <w:p w:rsidR="00D57135" w:rsidRDefault="00D57135">
      <w:pPr>
        <w:jc w:val="center"/>
        <w:rPr>
          <w:rFonts w:ascii="Garamond" w:hAnsi="Garamond"/>
          <w:b/>
          <w:bCs/>
          <w:sz w:val="28"/>
        </w:rPr>
      </w:pPr>
    </w:p>
    <w:p w:rsidR="00D57135" w:rsidRPr="007F7C2C" w:rsidRDefault="00D57135">
      <w:pPr>
        <w:jc w:val="center"/>
        <w:rPr>
          <w:rFonts w:ascii="Myriad Pro" w:hAnsi="Myriad Pro"/>
          <w:b/>
          <w:bCs/>
          <w:sz w:val="28"/>
        </w:rPr>
      </w:pPr>
      <w:r w:rsidRPr="007F7C2C">
        <w:rPr>
          <w:rFonts w:ascii="Myriad Pro" w:hAnsi="Myriad Pro"/>
          <w:b/>
          <w:bCs/>
          <w:sz w:val="28"/>
        </w:rPr>
        <w:t xml:space="preserve">Společenství </w:t>
      </w:r>
      <w:r w:rsidR="00CA3BC0" w:rsidRPr="007F7C2C">
        <w:rPr>
          <w:rFonts w:ascii="Myriad Pro" w:hAnsi="Myriad Pro"/>
          <w:b/>
          <w:bCs/>
          <w:sz w:val="28"/>
        </w:rPr>
        <w:t xml:space="preserve">vlastníků Místecká </w:t>
      </w:r>
      <w:r w:rsidRPr="007F7C2C">
        <w:rPr>
          <w:rFonts w:ascii="Myriad Pro" w:hAnsi="Myriad Pro"/>
          <w:b/>
          <w:bCs/>
          <w:sz w:val="28"/>
        </w:rPr>
        <w:t xml:space="preserve">450  </w:t>
      </w:r>
    </w:p>
    <w:p w:rsidR="00D57135" w:rsidRDefault="00D57135">
      <w:pPr>
        <w:jc w:val="center"/>
        <w:rPr>
          <w:rFonts w:ascii="Garamond" w:hAnsi="Garamond"/>
        </w:rPr>
      </w:pPr>
    </w:p>
    <w:p w:rsidR="00D57135" w:rsidRDefault="00D57135">
      <w:pPr>
        <w:jc w:val="center"/>
        <w:rPr>
          <w:rFonts w:ascii="Garamond" w:hAnsi="Garamond"/>
          <w:b/>
          <w:bCs/>
        </w:rPr>
      </w:pPr>
    </w:p>
    <w:p w:rsidR="00D50E61" w:rsidRPr="007F7C2C" w:rsidRDefault="00D50E61" w:rsidP="00D50E61">
      <w:pPr>
        <w:pStyle w:val="1odstavec"/>
        <w:ind w:left="660"/>
      </w:pPr>
      <w:r w:rsidRPr="007F7C2C">
        <w:t xml:space="preserve">Stanovy společenství vlastníků jednotek Společenství pro dům </w:t>
      </w:r>
      <w:proofErr w:type="spellStart"/>
      <w:r w:rsidRPr="007F7C2C">
        <w:t>čp</w:t>
      </w:r>
      <w:proofErr w:type="spellEnd"/>
      <w:r w:rsidRPr="007F7C2C">
        <w:t xml:space="preserve">. 450, ulice Místecká, Praha 18 – Letňany (dále jen </w:t>
      </w:r>
      <w:r w:rsidRPr="007F7C2C">
        <w:rPr>
          <w:i/>
        </w:rPr>
        <w:t>„společenství“</w:t>
      </w:r>
      <w:r w:rsidRPr="007F7C2C">
        <w:t xml:space="preserve">) ze dne </w:t>
      </w:r>
      <w:proofErr w:type="gramStart"/>
      <w:r w:rsidRPr="007F7C2C">
        <w:t>15.11.2004</w:t>
      </w:r>
      <w:proofErr w:type="gramEnd"/>
      <w:r w:rsidRPr="007F7C2C">
        <w:t xml:space="preserve"> </w:t>
      </w:r>
      <w:r w:rsidR="00CA3BC0" w:rsidRPr="007F7C2C">
        <w:t>ve znění změn přijatých schůzí shromáždění dne 25.6.2013</w:t>
      </w:r>
    </w:p>
    <w:p w:rsidR="00D57135" w:rsidRPr="007F7C2C" w:rsidRDefault="00D50E61" w:rsidP="00D50E61">
      <w:pPr>
        <w:pStyle w:val="proklad"/>
      </w:pPr>
      <w:proofErr w:type="gramStart"/>
      <w:r w:rsidRPr="007F7C2C">
        <w:t>se mění</w:t>
      </w:r>
      <w:proofErr w:type="gramEnd"/>
      <w:r w:rsidRPr="007F7C2C">
        <w:t xml:space="preserve"> takto: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V nadpisu se označení subjektu „Společenství pro dům </w:t>
      </w:r>
      <w:proofErr w:type="spellStart"/>
      <w:r w:rsidRPr="007F7C2C">
        <w:t>čp</w:t>
      </w:r>
      <w:proofErr w:type="spellEnd"/>
      <w:r w:rsidRPr="007F7C2C">
        <w:t>. 450“ nahrazuje slovy „Společenství vlastníků Místecká 450.“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Čl. I odst. (1) zní: „Společenství vlastníků jednotek (dále jen </w:t>
      </w:r>
      <w:r w:rsidRPr="007F7C2C">
        <w:rPr>
          <w:i/>
        </w:rPr>
        <w:t>„společenství“</w:t>
      </w:r>
      <w:r w:rsidRPr="007F7C2C">
        <w:t xml:space="preserve">) je právnickou osobou založenou ve smyslu </w:t>
      </w:r>
      <w:proofErr w:type="spellStart"/>
      <w:r w:rsidRPr="007F7C2C">
        <w:t>ust</w:t>
      </w:r>
      <w:proofErr w:type="spellEnd"/>
      <w:r w:rsidRPr="007F7C2C">
        <w:t xml:space="preserve">. § 1194 zákona č. 82/2014 Sb., občanský zákoník, v platném znění (dále jen </w:t>
      </w:r>
      <w:r w:rsidRPr="007F7C2C">
        <w:rPr>
          <w:i/>
        </w:rPr>
        <w:t>„</w:t>
      </w:r>
      <w:proofErr w:type="spellStart"/>
      <w:r w:rsidRPr="007F7C2C">
        <w:rPr>
          <w:i/>
        </w:rPr>
        <w:t>ObčZ</w:t>
      </w:r>
      <w:proofErr w:type="spellEnd"/>
      <w:r w:rsidRPr="007F7C2C">
        <w:rPr>
          <w:i/>
        </w:rPr>
        <w:t xml:space="preserve">“) </w:t>
      </w:r>
      <w:r w:rsidRPr="007F7C2C">
        <w:t xml:space="preserve">za účelem správy domu </w:t>
      </w:r>
      <w:proofErr w:type="spellStart"/>
      <w:r w:rsidRPr="007F7C2C">
        <w:t>čp</w:t>
      </w:r>
      <w:proofErr w:type="spellEnd"/>
      <w:r w:rsidRPr="007F7C2C">
        <w:t xml:space="preserve">. 450, ulice Místecká, stojícího na pozemku </w:t>
      </w:r>
      <w:proofErr w:type="spellStart"/>
      <w:r w:rsidRPr="007F7C2C">
        <w:t>parc</w:t>
      </w:r>
      <w:proofErr w:type="spellEnd"/>
      <w:r w:rsidRPr="007F7C2C">
        <w:t xml:space="preserve">. </w:t>
      </w:r>
      <w:proofErr w:type="gramStart"/>
      <w:r w:rsidRPr="007F7C2C">
        <w:t>č.</w:t>
      </w:r>
      <w:proofErr w:type="gramEnd"/>
      <w:r w:rsidRPr="007F7C2C">
        <w:t xml:space="preserve"> 672/26 a </w:t>
      </w:r>
      <w:proofErr w:type="spellStart"/>
      <w:r w:rsidRPr="007F7C2C">
        <w:t>parc</w:t>
      </w:r>
      <w:proofErr w:type="spellEnd"/>
      <w:r w:rsidRPr="007F7C2C">
        <w:t>. č. 672/100, na katastrálním území Letňany, obec Praha.“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 odst. (2) se slova „zákoně o vlastnictví bytů“ nahrazují slovem „</w:t>
      </w:r>
      <w:proofErr w:type="spellStart"/>
      <w:r w:rsidRPr="007F7C2C">
        <w:t>ObčZ</w:t>
      </w:r>
      <w:proofErr w:type="spellEnd"/>
      <w:r w:rsidRPr="007F7C2C">
        <w:t>“.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Čl. I odst. (3) zní: „Společenství je jako právnická osoba způsobilé při naplňování svého účelu nabývat práva a zavazovat se k povinnostem.“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V čl. II. odst. (1) se slova „Společenství pro dům </w:t>
      </w:r>
      <w:proofErr w:type="spellStart"/>
      <w:r w:rsidRPr="007F7C2C">
        <w:t>čp</w:t>
      </w:r>
      <w:proofErr w:type="spellEnd"/>
      <w:r w:rsidRPr="007F7C2C">
        <w:t>. 450, ulice Místecká, Praha 18 – Letňany</w:t>
      </w:r>
      <w:r w:rsidR="00B931AB" w:rsidRPr="007F7C2C">
        <w:t xml:space="preserve"> nahrazují slovy „Společenství vlastníků Místecká 450.“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Čl. III odst. (1) zní: „Správou domu se rozumí vše, co je nutné nebo účelné pro řádnou péči o dům a pozemek jako funkční celek, </w:t>
      </w:r>
      <w:r w:rsidR="00D10029">
        <w:t xml:space="preserve">pro zajištění bezpečnosti, </w:t>
      </w:r>
      <w:r w:rsidRPr="007F7C2C">
        <w:t xml:space="preserve">pro zachování nebo zlepšení části a péče o ně, pro zřízení, udržování anebo zlepšení zařízení v domě nebo na pozemku. Správou se rozumí činnosti z hlediska provozního a technického a činnosti z hlediska správních činností ve smyslu </w:t>
      </w:r>
      <w:proofErr w:type="spellStart"/>
      <w:r w:rsidRPr="007F7C2C">
        <w:t>ust</w:t>
      </w:r>
      <w:proofErr w:type="spellEnd"/>
      <w:r w:rsidRPr="007F7C2C">
        <w:t xml:space="preserve">. § 7 a </w:t>
      </w:r>
      <w:proofErr w:type="spellStart"/>
      <w:r w:rsidRPr="007F7C2C">
        <w:t>násl</w:t>
      </w:r>
      <w:proofErr w:type="spellEnd"/>
      <w:r w:rsidRPr="007F7C2C">
        <w:t>. nařízení vlády č. 366/2013 Sb., o úpravě některých záležitostí související</w:t>
      </w:r>
      <w:r w:rsidR="00DB2E68">
        <w:t>c</w:t>
      </w:r>
      <w:r w:rsidRPr="007F7C2C">
        <w:t>h s bytovým spoluvlastnictvím.</w:t>
      </w:r>
    </w:p>
    <w:p w:rsidR="00CA3BC0" w:rsidRPr="007F7C2C" w:rsidRDefault="00CA3BC0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Čl. III odst. (2) zní: „Pro účely správy domu je výbor (jak je tento pojem definován níže) oprávněn sjednat smlouvy týkající se zejména (i) zajištění činností spojených se správou, (</w:t>
      </w:r>
      <w:proofErr w:type="spellStart"/>
      <w:r w:rsidRPr="007F7C2C">
        <w:t>ii</w:t>
      </w:r>
      <w:proofErr w:type="spellEnd"/>
      <w:r w:rsidRPr="007F7C2C">
        <w:t>) zajištění dodávek služeb spojených s užíváním společných částí a spojených s užíváním jednotek, nejde-li o služby, jejichž dodávky si vlastníci jednotek zajišťují u dodavatele přímo, (</w:t>
      </w:r>
      <w:proofErr w:type="spellStart"/>
      <w:r w:rsidRPr="007F7C2C">
        <w:t>iii</w:t>
      </w:r>
      <w:proofErr w:type="spellEnd"/>
      <w:r w:rsidRPr="007F7C2C">
        <w:t>) pojištění domu, (</w:t>
      </w:r>
      <w:proofErr w:type="spellStart"/>
      <w:r w:rsidRPr="007F7C2C">
        <w:t>iv</w:t>
      </w:r>
      <w:proofErr w:type="spellEnd"/>
      <w:r w:rsidRPr="007F7C2C">
        <w:t>) nájmu společných částí domu, (v) zajištění provozu vybraných technických zařízení spojených s užíváním společných částí Domu a s užíváním jednotek, ke kterým nemá výbor oprávnění je provozovat. Výbor současně dohlíží na plnění uzavřených smluv a vymáhá nároky z porušení povinností druhé smluvní strany.“</w:t>
      </w:r>
    </w:p>
    <w:p w:rsidR="00CA3BC0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Čl. III odst. (3) zní: „Pod správu domu a pozemku je zahrnuto rovněž: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údržba a opravy společných částí domu,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protipožární zabezpečení domu, včetně hromosvodů,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revize a opravy společných částí technických sítí, rozvodů elektrické energie, plynu, vody a odvodu odpadních vod, tepla a teplé užitkové vody včetně radiátorů, vzduchotechniky, výtahu, elektrických sdělovacích zařízení v domě a dalších technických zařízení podle vybavení domu,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lastRenderedPageBreak/>
        <w:t>revize a opravy domovní kotelny či výměníkové (předávací) stanice v rozsahu a způsobem odpovídajícím skutečnému vybavení domu,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prohlídky a čištění komínů,</w:t>
      </w:r>
    </w:p>
    <w:p w:rsidR="00B931AB" w:rsidRPr="007F7C2C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administrativní a operativně technické činnosti spojené se správou domu, včetně vedení příslušné technické a provozní dokumentace domu,</w:t>
      </w:r>
    </w:p>
    <w:p w:rsidR="00B931AB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správa jednotek, které jsou ve spoluvlastnictví všech členů společenství,</w:t>
      </w:r>
    </w:p>
    <w:p w:rsidR="00D10029" w:rsidRDefault="00D10029" w:rsidP="00D10029">
      <w:pPr>
        <w:numPr>
          <w:ilvl w:val="1"/>
          <w:numId w:val="25"/>
        </w:numPr>
        <w:jc w:val="both"/>
        <w:rPr>
          <w:rFonts w:ascii="Garamond" w:hAnsi="Garamond"/>
        </w:rPr>
      </w:pPr>
      <w:r>
        <w:rPr>
          <w:rFonts w:ascii="Garamond" w:hAnsi="Garamond"/>
        </w:rPr>
        <w:t>zřízení a provoz kamerového systému pro zajištění pořádku a bezpečnosti v domě,</w:t>
      </w:r>
    </w:p>
    <w:p w:rsidR="00B931AB" w:rsidRDefault="00B931AB" w:rsidP="00B931AB">
      <w:pPr>
        <w:numPr>
          <w:ilvl w:val="1"/>
          <w:numId w:val="25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další činnosti, které vyplývají pro společenství z právních předpisů a technických postupů spojených se správou domu.“</w:t>
      </w:r>
    </w:p>
    <w:p w:rsidR="00DB2E68" w:rsidRPr="007F7C2C" w:rsidRDefault="00DB2E68" w:rsidP="00DB2E68">
      <w:pPr>
        <w:ind w:left="1440"/>
        <w:jc w:val="both"/>
        <w:rPr>
          <w:rFonts w:ascii="Garamond" w:hAnsi="Garamond"/>
        </w:rPr>
      </w:pPr>
    </w:p>
    <w:p w:rsidR="00B931AB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III odst. (4) se slova „podle zákona o vlastnictví bytů“ nahrazují slovy „podle platných zákonů“.</w:t>
      </w:r>
    </w:p>
    <w:p w:rsidR="00B931AB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III odst. (7) se slova „V rámci činností vykonávaných v rozsahu zákona o vlastnictví bytů“ vypouštějí a následné slovo „společenství“ se nahrazuje slovem „Společenství“.</w:t>
      </w:r>
    </w:p>
    <w:p w:rsidR="00B931AB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III se za odst. (7) vkládá odst. (8) ve znění: „Nesplní-li vlastník jednotky povinnost udržovat jednotku tak, jak to vyžaduje nezávadný stav domu, a přímo hrozí nebezpečí, že dojde k poškození jiné jednotky, je výbor oprávněn činit opatření ke zjednání náprav i v případě, že nejde o ohrožení nezávadného stavu domu jako celku. Právo vlastníka činit opatření k nápravě tím není dotčeno.“</w:t>
      </w:r>
    </w:p>
    <w:p w:rsidR="00B931AB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 odst. (1) zní: „Osobou odpovědnou za správu domu a pozemku je společenství. Některé činnosti může zajišťovat třetí osoba na základě smlouvy uzavřené se společenstvím. Určení této třetí osoby, i rozhodnutí o její změně, jakož i schválení smlouvy s touto osobou a schválení změny smlouvy v ujednání o ceně nebo o rozsahu činnosti spadá do působnosti shromáždění.“</w:t>
      </w:r>
    </w:p>
    <w:p w:rsidR="00B931AB" w:rsidRPr="007F7C2C" w:rsidRDefault="00B931AB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V čl. V odst. (3) </w:t>
      </w:r>
      <w:r w:rsidR="00B05564" w:rsidRPr="007F7C2C">
        <w:t xml:space="preserve">zní: „Uzavřením smlouvy se správcem podle odstavců 1 až 3 2 nemůže být dotčena výlučná rozhodovací působnost orgánů společenství plynoucí z </w:t>
      </w:r>
      <w:proofErr w:type="spellStart"/>
      <w:r w:rsidR="00B05564" w:rsidRPr="007F7C2C">
        <w:t>ObčZ</w:t>
      </w:r>
      <w:proofErr w:type="spellEnd"/>
      <w:r w:rsidR="00B05564" w:rsidRPr="007F7C2C">
        <w:t xml:space="preserve"> a z těchto stanov.“</w:t>
      </w:r>
    </w:p>
    <w:p w:rsidR="00B05564" w:rsidRPr="007F7C2C" w:rsidRDefault="00B05564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 se odst. (4) zrušuje.</w:t>
      </w:r>
    </w:p>
    <w:p w:rsidR="00B05564" w:rsidRPr="007F7C2C" w:rsidRDefault="00B05564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VI. odst. (2) se věta druhá nahrazuje větou: „Členem voleného orgánu společenství nebo jeho voleným orgánem může být pouze fyzická osoba, která je plně svéprávná a bezúhonná ve smyslu jiného právního předpisu upravujícího živnostenské podnikání.“</w:t>
      </w:r>
    </w:p>
    <w:p w:rsidR="00B05564" w:rsidRPr="007F7C2C" w:rsidRDefault="00B05564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V čl. VI. odst. (11) zní: „Pokud se nesejde shromáždění k volbě orgánů společenství nebo nejsou-li tyto orgány zvoleny, plní jejich funkci člen společenství, jehož spoluvlastnický podíl na společných částech domu činí nejméně jednu polovinu, jinak členové společenství, kteří byli v těchto volených orgánech naposledy, pokud s tím souhlasí. Totéž platí, nebude-li statutární orgán schopen plnit své funkce z důvodu, že počet členů výboru poklesl pod 3 členy, nebo není-li ve funkci pověřený vlastník. Nový pokus o zvolení orgánů společenství se v takových případech musí uskutečnit do 30 dnů od posledního neúspěšného pokusu; </w:t>
      </w:r>
      <w:proofErr w:type="spellStart"/>
      <w:r w:rsidRPr="007F7C2C">
        <w:t>ust</w:t>
      </w:r>
      <w:proofErr w:type="spellEnd"/>
      <w:r w:rsidRPr="007F7C2C">
        <w:t xml:space="preserve">. </w:t>
      </w:r>
      <w:proofErr w:type="gramStart"/>
      <w:r w:rsidRPr="007F7C2C">
        <w:t>čl.</w:t>
      </w:r>
      <w:proofErr w:type="gramEnd"/>
      <w:r w:rsidRPr="007F7C2C">
        <w:t xml:space="preserve"> VIII tím není dotčeno.“</w:t>
      </w:r>
    </w:p>
    <w:p w:rsidR="00B05564" w:rsidRPr="007F7C2C" w:rsidRDefault="00B05564" w:rsidP="00D50E61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(1) se slova „členové společenství“ nahrazují slovy „všichni vlastníci jednotek“.</w:t>
      </w:r>
    </w:p>
    <w:p w:rsidR="00B05564" w:rsidRPr="007F7C2C" w:rsidRDefault="00B05564" w:rsidP="00B05564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(3) zní: „Do působnosti shromáždění náleží rozhodování o záležitostech uvedených v </w:t>
      </w:r>
      <w:proofErr w:type="spellStart"/>
      <w:r w:rsidRPr="007F7C2C">
        <w:t>ust</w:t>
      </w:r>
      <w:proofErr w:type="spellEnd"/>
      <w:r w:rsidRPr="007F7C2C">
        <w:t xml:space="preserve">. § 1208 </w:t>
      </w:r>
      <w:proofErr w:type="spellStart"/>
      <w:r w:rsidRPr="007F7C2C">
        <w:t>ObčZ</w:t>
      </w:r>
      <w:proofErr w:type="spellEnd"/>
      <w:r w:rsidRPr="007F7C2C">
        <w:t xml:space="preserve"> a v těchto stanovách, zejména rozhodování o 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stanov,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prohlášení o rozdělení práva k domu a pozemku na vlastnické právo k jednotkám,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lastRenderedPageBreak/>
        <w:t>výši odměn členů volených orgánů,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schválení účetní závěrky, předložené výborem či pověřeným vlastníkem, spolu se zprávou o hospodaření společenství a správě domu a pozemku; pokud je správa domu a činnosti s ní související vykonávány správcem podle čl. V, předkládá zprávu rovněž správce v rozsahu a způsobem uvedeným ve smlouvě;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výši příspěvku členů společenství na správu domu a pozemku, popřípadě o výši a způsobu placení dalších příspěvků na činnosti uvedené v čl. IV,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schválení druhu služeb a výše záloh na jejich úhradu, jakož i způsobu rozúčtování cen služeb na jednotky, pokud není rozhodování v této věci usnesením shromáždění svěřeno výboru nebo pověřenému vlastníkovi,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členství společenství vlastníků v právnické osobě působící v oblasti bydlení,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 xml:space="preserve">změně účelu užívání domu nebo bytu, změně stavby, jakož i modernizaci, rekonstrukci, stavebních </w:t>
      </w:r>
      <w:proofErr w:type="gramStart"/>
      <w:r w:rsidRPr="007F7C2C">
        <w:rPr>
          <w:rFonts w:ascii="Garamond" w:hAnsi="Garamond"/>
        </w:rPr>
        <w:t>úpravách</w:t>
      </w:r>
      <w:proofErr w:type="gramEnd"/>
      <w:r w:rsidRPr="007F7C2C">
        <w:rPr>
          <w:rFonts w:ascii="Garamond" w:hAnsi="Garamond"/>
        </w:rPr>
        <w:t xml:space="preserve"> a opravách společných částí domu,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podlahové plochy bytu,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proofErr w:type="gramStart"/>
      <w:r w:rsidRPr="007F7C2C">
        <w:rPr>
          <w:rFonts w:ascii="Garamond" w:hAnsi="Garamond"/>
        </w:rPr>
        <w:t>úplném</w:t>
      </w:r>
      <w:proofErr w:type="gramEnd"/>
      <w:r w:rsidRPr="007F7C2C">
        <w:rPr>
          <w:rFonts w:ascii="Garamond" w:hAnsi="Garamond"/>
        </w:rPr>
        <w:t xml:space="preserve"> nebo částečném sloučení či rozdělení jednotek,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podílu na společných částech,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osoby správce nebo o změně obsahu smlouvy se správcem,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proofErr w:type="gramStart"/>
      <w:r w:rsidRPr="007F7C2C">
        <w:rPr>
          <w:rFonts w:ascii="Garamond" w:hAnsi="Garamond"/>
        </w:rPr>
        <w:t>pravidlech</w:t>
      </w:r>
      <w:proofErr w:type="gramEnd"/>
      <w:r w:rsidRPr="007F7C2C">
        <w:rPr>
          <w:rFonts w:ascii="Garamond" w:hAnsi="Garamond"/>
        </w:rPr>
        <w:t xml:space="preserve"> pro užívání pozemku a společných částí domu,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rozpočtu společenství,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změně v určení společné části sloužící k výlučnému užívání vlastníka jednotky,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opravě nebo stavební úpravě společné části, převyšují-li náklady částku 150.000,- Kč,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udělování předchozího souhlasu</w:t>
      </w:r>
    </w:p>
    <w:p w:rsidR="00B05564" w:rsidRPr="007F7C2C" w:rsidRDefault="00B05564" w:rsidP="00B05564">
      <w:pPr>
        <w:numPr>
          <w:ilvl w:val="2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k nabytí, zcizení nebo zatížení nemovitých věcí nebo k jinému nakládání s nimi,</w:t>
      </w:r>
    </w:p>
    <w:p w:rsidR="00B05564" w:rsidRPr="007F7C2C" w:rsidRDefault="00B05564" w:rsidP="00B05564">
      <w:pPr>
        <w:numPr>
          <w:ilvl w:val="2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k nabytí, zcizení nebo zatížení movitých věcí, jejichž hodnota přesahuje částku 50.000,- Kč v jednotlivém případě, nebo k jinému nakládání s nimi,</w:t>
      </w:r>
    </w:p>
    <w:p w:rsidR="00B05564" w:rsidRPr="007F7C2C" w:rsidRDefault="00B05564" w:rsidP="00B05564">
      <w:pPr>
        <w:numPr>
          <w:ilvl w:val="2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k uzavření smlouvy o úvěru společenstvím vlastníků včetně schválení výše a podmínek úvěru,</w:t>
      </w:r>
    </w:p>
    <w:p w:rsidR="00B05564" w:rsidRPr="007F7C2C" w:rsidRDefault="00B05564" w:rsidP="00B05564">
      <w:pPr>
        <w:numPr>
          <w:ilvl w:val="2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k uzavření smlouvy o zřízení zástavního práva k jednotce, pokud dotčený vlastník s uzavřením zástavní smlouvy souhlasil,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rozhodování v dalších záležitostech, které si shromáždění k rozhodnutí vyhradí.</w:t>
      </w:r>
    </w:p>
    <w:p w:rsidR="00B05564" w:rsidRPr="007F7C2C" w:rsidDel="00F83736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 w:rsidDel="00F83736">
        <w:rPr>
          <w:rFonts w:ascii="Garamond" w:hAnsi="Garamond"/>
        </w:rPr>
        <w:t>vymáhání plnění povinností uložených členům společenství k tomu příslušným orgánem společenství podle zákona o vlastnictví bytů a podle těchto stanov, pokud tuto činnost nesvěří do působnosti výboru nebo pověřeného vlastníka,</w:t>
      </w:r>
    </w:p>
    <w:p w:rsidR="00B05564" w:rsidRPr="007F7C2C" w:rsidRDefault="00B05564" w:rsidP="00B05564">
      <w:pPr>
        <w:numPr>
          <w:ilvl w:val="1"/>
          <w:numId w:val="28"/>
        </w:numPr>
        <w:jc w:val="both"/>
        <w:rPr>
          <w:rFonts w:ascii="Garamond" w:hAnsi="Garamond"/>
        </w:rPr>
      </w:pPr>
      <w:r w:rsidRPr="007F7C2C">
        <w:rPr>
          <w:rFonts w:ascii="Garamond" w:hAnsi="Garamond"/>
        </w:rPr>
        <w:t>nabývání nemovitých věcí, bytů nebo nebytových prostor k účelům, které jsou předmětem činnosti společenství podle zákona o vlastnictví bytů, o majetkových dispozicích s těmito věcmi (převody, darování, zatěžování právy jiných osob, ručení těmito věcmi apod.); totéž platí pro jiná práva a jiné majetkové hodnoty, dále pro movité věci, je-li jejich pořizovací cena vyšší než částka určená usnesením shromáždění, jinak částka vyšší než 50 tisíc Kč v jednotlivém případě.“</w:t>
      </w:r>
    </w:p>
    <w:p w:rsidR="00B05564" w:rsidRPr="007F7C2C" w:rsidRDefault="00B05564" w:rsidP="00B05564">
      <w:pPr>
        <w:ind w:left="708"/>
        <w:jc w:val="both"/>
        <w:rPr>
          <w:rFonts w:ascii="Garamond" w:hAnsi="Garamond"/>
        </w:rPr>
      </w:pPr>
    </w:p>
    <w:p w:rsidR="00B05564" w:rsidRPr="007F7C2C" w:rsidRDefault="009A1F7C" w:rsidP="00B05564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(6) se za slova „jsou oprávnění shromáždění“ vkládají slova „na náklady společenství“.</w:t>
      </w:r>
    </w:p>
    <w:p w:rsidR="009A1F7C" w:rsidRPr="007F7C2C" w:rsidRDefault="009A1F7C" w:rsidP="00B05564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(7) se slovo „doručí“ nahrazuje slovem „rozešle“.</w:t>
      </w:r>
    </w:p>
    <w:p w:rsidR="009A1F7C" w:rsidRPr="007F7C2C" w:rsidRDefault="009A1F7C" w:rsidP="00B05564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(8) se za slovo „poznámka“ vkládají slova „, není-li předána osobně,“ a za slova „k doručení“ vkládají slova „či vložena do poštovní schránky náležející k jednotce“.</w:t>
      </w:r>
    </w:p>
    <w:p w:rsidR="009A1F7C" w:rsidRPr="007F7C2C" w:rsidRDefault="009A1F7C" w:rsidP="00B05564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lastRenderedPageBreak/>
        <w:t>V čl. VII odst. (10) se ve druhé větě za slovo „zapotřebí“ vkládá slovo „prosté“.</w:t>
      </w:r>
    </w:p>
    <w:p w:rsidR="009A1F7C" w:rsidRPr="007F7C2C" w:rsidRDefault="009A1F7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se za odst. (11) vkládá odst. (12) ve znění: „Mění-li se všem vlastníkům jednotek</w:t>
      </w:r>
      <w:r w:rsidRPr="007F7C2C">
        <w:tab/>
        <w:t xml:space="preserve"> velikost podílu na společných částech nebo mění-li se poměr výše příspěvků na správu domu a pozemku jinak než v důsledku změny podílu na společných částech, vyžaduje se souhlas všech vlastníků jednotek.“</w:t>
      </w:r>
    </w:p>
    <w:p w:rsidR="009A1F7C" w:rsidRPr="007F7C2C" w:rsidRDefault="009A1F7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(13) zní: „Je-li pro to důležitý důvod, může přehlasovaný vlastník jednotky navrhnout soudu, aby o záležitosti rozhodl; v rámci toho může též navrhnout, aby soud dočasně zakázal jednat podle napadeného rozhodnutí. Není-li návrh podán do tří měsíců ode dne, kdy se vlastník jednotky o rozhodnutí dozvěděl nebo dozvědět mohl, jeho právo zaniká.“</w:t>
      </w:r>
    </w:p>
    <w:p w:rsidR="009A1F7C" w:rsidRPr="007F7C2C" w:rsidRDefault="009A1F7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(14) zní: „Je-li pro to důležitý důvod, může každý vlastník jednotky navrhnout soudu, aby rozhodl o záležitosti, která byla shromáždění řádně předložena k rozhodnutí, ale o které nebylo rozhodnuto pro nezpůsobilost shromáždění usnášet se.“</w:t>
      </w:r>
    </w:p>
    <w:p w:rsidR="009A1F7C" w:rsidRPr="007F7C2C" w:rsidRDefault="009A1F7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se odst. (15) zrušuje a odst. (16) až (19) se přečíslovávají na (15) až (18).</w:t>
      </w:r>
    </w:p>
    <w:p w:rsidR="009A1F7C" w:rsidRPr="007F7C2C" w:rsidRDefault="009A1F7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VII odst. (18) se číslovky „17 a 18“ nahrazují číslovkami „16 a 17“.</w:t>
      </w:r>
    </w:p>
    <w:p w:rsidR="009A1F7C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Za čl. VII se nově vkládá čl. VIII s nadpisem Rozhodnutí mimo zasedání, který zní: „</w:t>
      </w:r>
    </w:p>
    <w:p w:rsidR="00A766CA" w:rsidRPr="007F7C2C" w:rsidRDefault="00A766CA" w:rsidP="00A766CA">
      <w:pPr>
        <w:pStyle w:val="1odstavec"/>
        <w:numPr>
          <w:ilvl w:val="3"/>
          <w:numId w:val="32"/>
        </w:numPr>
        <w:ind w:left="1276"/>
        <w:jc w:val="both"/>
      </w:pPr>
      <w:r w:rsidRPr="007F7C2C">
        <w:t>Není-li svolané shromáždění způsobilé usnášet se, může osoba, která je oprávněna shromáždění svolat, navrhnout v písemné formě do jednoho měsíce ode dne, na který bylo zasedání svoláno, aby vlastníci jednotek rozhodli o týchž záležitostech mimo zasedání.</w:t>
      </w:r>
    </w:p>
    <w:p w:rsidR="00A766CA" w:rsidRPr="007F7C2C" w:rsidRDefault="00A766CA" w:rsidP="00A766CA">
      <w:pPr>
        <w:pStyle w:val="1odstavec"/>
        <w:numPr>
          <w:ilvl w:val="0"/>
          <w:numId w:val="32"/>
        </w:numPr>
        <w:ind w:left="1276"/>
        <w:jc w:val="both"/>
      </w:pPr>
      <w:r w:rsidRPr="007F7C2C">
        <w:t xml:space="preserve">Návrh musí obsahovat alespoň návrh usnesení, podklady potřebné pro jeho posouzení nebo údaj, kde jsou zveřejněny, a údaj o lhůtě, ve které se má vlastník jednotky vyjádřit. Lhůta činí nejméně 15 dní. </w:t>
      </w:r>
    </w:p>
    <w:p w:rsidR="00A766CA" w:rsidRPr="007F7C2C" w:rsidRDefault="00A766CA" w:rsidP="00A766CA">
      <w:pPr>
        <w:pStyle w:val="1odstavec"/>
        <w:numPr>
          <w:ilvl w:val="0"/>
          <w:numId w:val="32"/>
        </w:numPr>
        <w:ind w:left="1276"/>
        <w:jc w:val="both"/>
      </w:pPr>
      <w:r w:rsidRPr="007F7C2C">
        <w:t>K platnosti hlasování se vyžaduje vyjádření vlastníka jednotky s uvedením dne, měsíce a roku, kdy bylo učiněno, podepsané vlastní rukou na listině obsahující plné znění návrhu rozhodnutí.</w:t>
      </w:r>
    </w:p>
    <w:p w:rsidR="00A766CA" w:rsidRPr="007F7C2C" w:rsidRDefault="00A766CA" w:rsidP="00A766CA">
      <w:pPr>
        <w:pStyle w:val="1odstavec"/>
        <w:numPr>
          <w:ilvl w:val="0"/>
          <w:numId w:val="32"/>
        </w:numPr>
        <w:ind w:left="1276"/>
        <w:jc w:val="both"/>
      </w:pPr>
      <w:r w:rsidRPr="007F7C2C">
        <w:t>Statutární orgán oznámí vlastníkům jednotek v písemné formě výsledek hlasování, a pokud bylo usnesení přijato, oznámí jim i celý obsah přijatého usnesení. Učiní tak bez zbytečného odkladu, jinak může oznámení na náklady společenství učinit ten, kdo usnesení navrhl.</w:t>
      </w:r>
    </w:p>
    <w:p w:rsidR="00A766CA" w:rsidRDefault="00A766CA" w:rsidP="00A766CA">
      <w:pPr>
        <w:pStyle w:val="1odstavec"/>
        <w:numPr>
          <w:ilvl w:val="0"/>
          <w:numId w:val="32"/>
        </w:numPr>
        <w:ind w:left="1276"/>
        <w:jc w:val="both"/>
      </w:pPr>
      <w:r w:rsidRPr="007F7C2C">
        <w:t>Rozhodnutí se přijímá prostou většinou hlasů všech vlastníků jednotek; mění-li se však všem vlastníkům jednotek velikost podílů na společných částech nebo mění-li se poměr výše příspěvků na správu domu a pozemku jinak než v důsledku změny podílů na společných částech, vyžaduje se souhlas všech vlastníků jednotek.“</w:t>
      </w:r>
    </w:p>
    <w:p w:rsidR="004A3141" w:rsidRPr="007F7C2C" w:rsidRDefault="004A3141" w:rsidP="004A3141">
      <w:pPr>
        <w:pStyle w:val="1odstavec"/>
        <w:ind w:left="1276"/>
        <w:jc w:val="both"/>
      </w:pP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Dosavadní čl. XII se zrušuje a čl. VIII až XI se přečíslovávají na čl. IX až XII.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IX se slova „o vlastnictví bytů“ zrušují a slova „stanov ve výlučné působnosti“ nahrazují slovy „stanov v působnosti“.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IX odst. (9) zní: „Výbor jako výkonný orgán společenství zejména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 xml:space="preserve">zajišťuje záležitosti společenství ve věcech správy domu a pozemku a dalších činností společenství podle </w:t>
      </w:r>
      <w:proofErr w:type="spellStart"/>
      <w:r w:rsidRPr="007F7C2C">
        <w:rPr>
          <w:rFonts w:ascii="Garamond" w:hAnsi="Garamond"/>
        </w:rPr>
        <w:t>ObčZ</w:t>
      </w:r>
      <w:proofErr w:type="spellEnd"/>
      <w:r w:rsidRPr="007F7C2C">
        <w:rPr>
          <w:rFonts w:ascii="Garamond" w:hAnsi="Garamond"/>
        </w:rPr>
        <w:t xml:space="preserve"> a těchto stanov, pokud nejde o záležitosti, které jsou v působnosti shromáždění; zajišťuje plnění usnesení shromáždění a odpovídá mu za svou činnost,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lastRenderedPageBreak/>
        <w:t>rozhoduje o opravě nebo stavební úpravě společné části domu, nepřevyšují-li náklady v jednotlivých případech částku 150.000,- Kč; tento limit neplatí, pokud se jedná o opravy způsobené havárií na společných částech.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 xml:space="preserve">rozhoduje o nabytí, zcizení nebo zatížení movitých věcí, jejichž hodnota nepřesahuje částku 50.000,- Kč v jednotlivém případě, nebo k jinému nakládání s nimi, 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rozhoduje o uzavírání smluv ve věcech předmětu činnosti společenství, zejména k zajištění oprav, pojištění domu a zajištění dodávky služeb spojených s užíváním jednotek,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odpovídá za vedení účetnictví a za sestavení účetní závěrky a za předložení přiznání k daním, pokud tato povinnost vyplývá z právních předpisů,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připravuje podklady pro jednání shromáždění, svolává shromáždění, předkládá shromáždění zprávu o hospodaření společenství, zprávu o správě domu a pozemku a o dalších činnostech společenství, které obsahují zejména základní údaje o provedených a plánovaných opravách, údržbě a povinných revizích včetně údajů o použití a stavu příspěvků na správu domu a pozemku,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předkládá k projednání a schválení účetní závěrku a písemné materiály, které má shromáždění projednat,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rPr>
          <w:rFonts w:ascii="Garamond" w:hAnsi="Garamond"/>
        </w:rPr>
      </w:pPr>
      <w:r w:rsidRPr="007F7C2C">
        <w:rPr>
          <w:rFonts w:ascii="Garamond" w:hAnsi="Garamond"/>
        </w:rPr>
        <w:t>zajišťuje řádné vedení písemností společenství,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sděluje jednotlivým členům společenství podle usnesení shromáždění výši příspěvků na náklady spojené se správou domu a pozemku a výši záloh na úhrady za služby,</w:t>
      </w:r>
    </w:p>
    <w:p w:rsidR="00A766CA" w:rsidRPr="007F7C2C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zajišťuje vyúčtování záloh na úhradu za služby a vypořádání nedoplatků nebo přeplatků,</w:t>
      </w:r>
    </w:p>
    <w:p w:rsidR="00D10029" w:rsidRDefault="00A766CA" w:rsidP="00A766CA">
      <w:pPr>
        <w:pStyle w:val="Odstavecseseznamem"/>
        <w:numPr>
          <w:ilvl w:val="0"/>
          <w:numId w:val="33"/>
        </w:numPr>
        <w:ind w:left="1276"/>
        <w:jc w:val="both"/>
        <w:rPr>
          <w:rFonts w:ascii="Garamond" w:hAnsi="Garamond"/>
        </w:rPr>
      </w:pPr>
      <w:r w:rsidRPr="007F7C2C">
        <w:rPr>
          <w:rFonts w:ascii="Garamond" w:hAnsi="Garamond"/>
        </w:rPr>
        <w:t>zajišťuje včasné plnění závazků společenství vzniklých ze smluv a jiných závazků a povinností vůči třetím osobám a včasné uplatňování pohledávek společenství</w:t>
      </w:r>
      <w:r w:rsidR="00D10029">
        <w:rPr>
          <w:rFonts w:ascii="Garamond" w:hAnsi="Garamond"/>
        </w:rPr>
        <w:t>.“</w:t>
      </w:r>
    </w:p>
    <w:p w:rsidR="00D10029" w:rsidRPr="007F7C2C" w:rsidRDefault="00D10029" w:rsidP="00D10029">
      <w:pPr>
        <w:pStyle w:val="Odstavecseseznamem"/>
        <w:ind w:left="1276"/>
        <w:jc w:val="both"/>
        <w:rPr>
          <w:rFonts w:ascii="Garamond" w:hAnsi="Garamond"/>
        </w:rPr>
      </w:pP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IX odst. (10) písm. a) se slova „se zákonem o vlastnictví bytů,“ zrušují.</w:t>
      </w:r>
    </w:p>
    <w:p w:rsidR="00A766CA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IX odst. (10) písm. d) se slova „podle zákona o vlastnictví bytů“ zrušují.</w:t>
      </w:r>
    </w:p>
    <w:p w:rsidR="00D10029" w:rsidRPr="007F7C2C" w:rsidRDefault="00D10029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>
        <w:t>V čl. IX odst. (10) se za písm. d) doplňuje písmeno e) ve znění: „plní zákonné povinnosti související s provozem kamerového systému v domě.“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 odst. (4) se slova „zákona o vlastnictví bytů a“ zrušují.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XI odst. (3) písm. a) se slova „o vlastnictví bytů“ zrušují.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XIII odst. (1) písm. b) se opravuje chybné „nebytí“ na „nabytí“.</w:t>
      </w: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XIV odst. (1) zní: „</w:t>
      </w:r>
      <w:r w:rsidRPr="007F7C2C">
        <w:rPr>
          <w:bCs/>
        </w:rPr>
        <w:t xml:space="preserve">Člen společenství má práva vlastníka jednotky a člena společenství uvedená v příslušných ustanoveních </w:t>
      </w:r>
      <w:proofErr w:type="spellStart"/>
      <w:r w:rsidRPr="007F7C2C">
        <w:rPr>
          <w:bCs/>
        </w:rPr>
        <w:t>ObčZ</w:t>
      </w:r>
      <w:proofErr w:type="spellEnd"/>
      <w:r w:rsidRPr="007F7C2C">
        <w:rPr>
          <w:bCs/>
        </w:rPr>
        <w:t xml:space="preserve"> a těchto stanov a má zejména právo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svobodně spravovat, výlučně užívat a uvnitř stavebně upravovat svoji jednotku, jakož i užívat společné části; nesmí však ztížit jinému vlastníku jednotky výkon stejných práv ani ohrozit, změnit nebo poškodit společné části;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na vyžádání se dozvědět jméno a adresu kteréhokoliv vlastníka jednotky nebo nájemce v domě;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seznámit se, jak výbor hospodaří a jak dům a pozemek spravuje, během schůze shromáždění nahlížet do smluv uzavřených ve věcech správy, jakož i do účetních knih a dokladů;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účastnit se činnosti společenství způsobem a za podmínek stanovených těmito stanovami,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účastnit se jednání shromáždění a hlasováním se podílet na jeho rozhodování,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volit a být volen do orgánů společenství</w:t>
      </w:r>
    </w:p>
    <w:p w:rsidR="00A766CA" w:rsidRPr="007F7C2C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lastRenderedPageBreak/>
        <w:t>předkládat orgánům společenství návrhy a podněty ke zlepšení činnosti společenství a k odstranění nedostatků v jejich činnosti,</w:t>
      </w:r>
    </w:p>
    <w:p w:rsidR="00A766CA" w:rsidRDefault="00A766CA" w:rsidP="00A766CA">
      <w:pPr>
        <w:pStyle w:val="Zkladntext2"/>
        <w:numPr>
          <w:ilvl w:val="1"/>
          <w:numId w:val="34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 xml:space="preserve">obdržet vyúčtování záloh na úhradu jednotlivých služeb a příspěvků na správu domu a pozemku. </w:t>
      </w:r>
    </w:p>
    <w:p w:rsidR="00D10029" w:rsidRPr="007F7C2C" w:rsidRDefault="00D10029" w:rsidP="00D10029">
      <w:pPr>
        <w:pStyle w:val="Zkladntext2"/>
        <w:ind w:left="792"/>
        <w:jc w:val="both"/>
        <w:rPr>
          <w:rFonts w:ascii="Garamond" w:hAnsi="Garamond"/>
          <w:b w:val="0"/>
          <w:bCs w:val="0"/>
        </w:rPr>
      </w:pPr>
    </w:p>
    <w:p w:rsidR="00A766CA" w:rsidRPr="007F7C2C" w:rsidRDefault="00A766CA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XIV odst. (2) zní: „</w:t>
      </w:r>
      <w:r w:rsidRPr="007F7C2C">
        <w:rPr>
          <w:bCs/>
        </w:rPr>
        <w:t xml:space="preserve">Člen společenství má povinnosti vlastníka jednotky a člena společenství uvedené v příslušných ustanoveních </w:t>
      </w:r>
      <w:proofErr w:type="spellStart"/>
      <w:r w:rsidRPr="007F7C2C">
        <w:rPr>
          <w:bCs/>
        </w:rPr>
        <w:t>ObčZ</w:t>
      </w:r>
      <w:proofErr w:type="spellEnd"/>
      <w:r w:rsidRPr="007F7C2C">
        <w:rPr>
          <w:bCs/>
        </w:rPr>
        <w:t xml:space="preserve"> a těchto stanov, zejména má povinnost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udržovat jednotku, jak to vyžaduje nezávadný stav a dobrý vzhled domu; to platí i o společných částech, které má vlastník jednotky vyhrazeny ve výlučném užívání,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řídit se stanovami, pravidly pro správu a pro užívání společných částí obsažených zejména v zákoně, ve stanovách, v prohlášení, ve vnitřních předpisech společenství či v rozhodnutí orgánů společenství, jakož i zajistit jejich dodržování osobami, jimž umožnilo přístup do domu nebo do jednotky,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oznámit do jednoho měsíce od okamžiku, kdy se dozvěděl nebo mohl dozvědět, že je vlastníkem jednotky, výboru nabytí jednotky, včetně své adresy, a jména osob, které budou mít v jednotce domácnost; povinnost v předchozí větě platí i v případě změny těchto údajů,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přispívat na správu ve výši stanovených příspěvků na správu domu a pozemku a včas platit zálohy na plnění spojená nebo související s užíváním bytu (služby), jakož i nedoplatky vyplývající z vyúčtování,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umožnit, upravuje-li stavebně svou jednotku, na základě předchozí výzvy výboru do jednotky přístup pro ověření, zda stavební úpravy neohrožují, nepoškozují nebo nemění společné části,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 xml:space="preserve">zdržet se všeho, co brání v údržbě, opravě, úpravě, přestavbě či jiné změně domu nebo pozemku, o nichž bylo řádně rozhodnuto; jsou-li tyto práce prováděny uvnitř jednotky, nebo na společné části, která slouží výlučně k užívání vlastníka jednotky, umožnit do nich přístup, pokud k tomu byl předem vyzván výborem; povinnosti v tomto ustanovení platí i pro umístění, údržbu, kontrolu a </w:t>
      </w:r>
      <w:proofErr w:type="spellStart"/>
      <w:r w:rsidRPr="007F7C2C">
        <w:rPr>
          <w:rFonts w:ascii="Garamond" w:hAnsi="Garamond"/>
          <w:b w:val="0"/>
          <w:bCs w:val="0"/>
        </w:rPr>
        <w:t>odečty</w:t>
      </w:r>
      <w:proofErr w:type="spellEnd"/>
      <w:r w:rsidRPr="007F7C2C">
        <w:rPr>
          <w:rFonts w:ascii="Garamond" w:hAnsi="Garamond"/>
          <w:b w:val="0"/>
          <w:bCs w:val="0"/>
        </w:rPr>
        <w:t xml:space="preserve"> zařízení pro měření spotřeby vody a jiných energií; právo na náhradu škody, která vznikla vlastníku jednotky při provádění těchto prací, se řídí </w:t>
      </w:r>
      <w:proofErr w:type="spellStart"/>
      <w:r w:rsidRPr="007F7C2C">
        <w:rPr>
          <w:rFonts w:ascii="Garamond" w:hAnsi="Garamond"/>
          <w:b w:val="0"/>
          <w:bCs w:val="0"/>
        </w:rPr>
        <w:t>ust</w:t>
      </w:r>
      <w:proofErr w:type="spellEnd"/>
      <w:r w:rsidRPr="007F7C2C">
        <w:rPr>
          <w:rFonts w:ascii="Garamond" w:hAnsi="Garamond"/>
          <w:b w:val="0"/>
          <w:bCs w:val="0"/>
        </w:rPr>
        <w:t xml:space="preserve">. § 1183 odst. 2 </w:t>
      </w:r>
      <w:proofErr w:type="spellStart"/>
      <w:r w:rsidRPr="007F7C2C">
        <w:rPr>
          <w:rFonts w:ascii="Garamond" w:hAnsi="Garamond"/>
          <w:b w:val="0"/>
          <w:bCs w:val="0"/>
        </w:rPr>
        <w:t>ObčZ</w:t>
      </w:r>
      <w:proofErr w:type="spellEnd"/>
      <w:r w:rsidRPr="007F7C2C">
        <w:rPr>
          <w:rFonts w:ascii="Garamond" w:hAnsi="Garamond"/>
          <w:b w:val="0"/>
          <w:bCs w:val="0"/>
        </w:rPr>
        <w:t>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neprodleně upozorňovat výbor na závady vzniklé na společných částech, jakož i na jednání jiných osob a na další skutečnosti, které společné části poškozují, a dále podle svých schopností a možností působit proti takovému poškozování, včetně činnosti směřující k předcházení či odvracení škod,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odstranit na svůj náklad závady a poškození, které na jiných jednotkách nebo společných částech způsobil nebo ti, kdo s ním jednotku užívají, nebo nájemníci či podnájemníci, příslušníci jejich domácnosti a další osoby, jimž umožnil přístup do domu nebo do jednotky.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zdržet se jednání, jímž by zasahoval do práva ostatních členů společenství,</w:t>
      </w:r>
    </w:p>
    <w:p w:rsidR="00A766CA" w:rsidRPr="007F7C2C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bezodkladně oznamovat společenství všechny skutečnosti rozhodné pro rozúčtování služeb spojených s bydlením,</w:t>
      </w:r>
    </w:p>
    <w:p w:rsidR="00A766CA" w:rsidRDefault="00A766CA" w:rsidP="00A766CA">
      <w:pPr>
        <w:pStyle w:val="Zkladntext2"/>
        <w:numPr>
          <w:ilvl w:val="1"/>
          <w:numId w:val="35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předat výboru nebo pověřenému vlastníkovi ověřenou projektovou dokumentaci v případě, že provádí změnu stavby.</w:t>
      </w:r>
      <w:r w:rsidR="007F7C2C" w:rsidRPr="007F7C2C">
        <w:rPr>
          <w:rFonts w:ascii="Garamond" w:hAnsi="Garamond"/>
          <w:b w:val="0"/>
          <w:bCs w:val="0"/>
        </w:rPr>
        <w:t>“</w:t>
      </w:r>
    </w:p>
    <w:p w:rsidR="007F7C2C" w:rsidRPr="007F7C2C" w:rsidRDefault="007F7C2C" w:rsidP="007F7C2C">
      <w:pPr>
        <w:pStyle w:val="Zkladntext2"/>
        <w:ind w:left="792"/>
        <w:jc w:val="both"/>
        <w:rPr>
          <w:rFonts w:ascii="Garamond" w:hAnsi="Garamond"/>
          <w:b w:val="0"/>
          <w:bCs w:val="0"/>
        </w:rPr>
      </w:pPr>
    </w:p>
    <w:p w:rsidR="00A766CA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XV odst. (1) písm. e) se slova „o vlastnictví bytů“ zrušují.</w:t>
      </w:r>
    </w:p>
    <w:p w:rsidR="007F7C2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XV se dosavadní odst. (2) až (6) přečíslovávají na (8) až (12).</w:t>
      </w:r>
    </w:p>
    <w:p w:rsidR="007F7C2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XV odst. (8) se slova „o vlastnictví bytů“ zrušují.</w:t>
      </w:r>
    </w:p>
    <w:p w:rsid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V čl. XV odst. (9) se slova „v zákoně o vlastnictví bytů a“ zrušují.</w:t>
      </w:r>
    </w:p>
    <w:p w:rsidR="007F7C2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lastRenderedPageBreak/>
        <w:t>V čl. XVI se za odst. (1) vkládají odst. (2) až (7) ve znění: „</w:t>
      </w:r>
    </w:p>
    <w:p w:rsidR="007F7C2C" w:rsidRPr="007F7C2C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 xml:space="preserve">Vlastník jednotky přispívá na Správu a údržbu domu a pozemku ve výši odpovídající jeho podílu na společných částech. Výjimku tvoří příspěvky </w:t>
      </w:r>
      <w:proofErr w:type="gramStart"/>
      <w:r w:rsidRPr="007F7C2C">
        <w:rPr>
          <w:rFonts w:ascii="Garamond" w:hAnsi="Garamond"/>
          <w:b w:val="0"/>
          <w:bCs w:val="0"/>
        </w:rPr>
        <w:t>na</w:t>
      </w:r>
      <w:proofErr w:type="gramEnd"/>
      <w:r w:rsidRPr="007F7C2C">
        <w:rPr>
          <w:rFonts w:ascii="Garamond" w:hAnsi="Garamond"/>
          <w:b w:val="0"/>
          <w:bCs w:val="0"/>
        </w:rPr>
        <w:t>: (i) odměňování členů Výboru, (</w:t>
      </w:r>
      <w:proofErr w:type="spellStart"/>
      <w:r w:rsidRPr="007F7C2C">
        <w:rPr>
          <w:rFonts w:ascii="Garamond" w:hAnsi="Garamond"/>
          <w:b w:val="0"/>
          <w:bCs w:val="0"/>
        </w:rPr>
        <w:t>ii</w:t>
      </w:r>
      <w:proofErr w:type="spellEnd"/>
      <w:r w:rsidRPr="007F7C2C">
        <w:rPr>
          <w:rFonts w:ascii="Garamond" w:hAnsi="Garamond"/>
          <w:b w:val="0"/>
          <w:bCs w:val="0"/>
        </w:rPr>
        <w:t>) vedení účetnictví, (</w:t>
      </w:r>
      <w:proofErr w:type="spellStart"/>
      <w:r w:rsidRPr="007F7C2C">
        <w:rPr>
          <w:rFonts w:ascii="Garamond" w:hAnsi="Garamond"/>
          <w:b w:val="0"/>
          <w:bCs w:val="0"/>
        </w:rPr>
        <w:t>iii</w:t>
      </w:r>
      <w:proofErr w:type="spellEnd"/>
      <w:r w:rsidRPr="007F7C2C">
        <w:rPr>
          <w:rFonts w:ascii="Garamond" w:hAnsi="Garamond"/>
          <w:b w:val="0"/>
          <w:bCs w:val="0"/>
        </w:rPr>
        <w:t>) odměna třetí osoby, která bude zajišťovat některé činnosti správy. Tyto náklady se rozvrhnou na každou jednotku v domě zásadně ve stejné výši.</w:t>
      </w:r>
    </w:p>
    <w:p w:rsidR="007F7C2C" w:rsidRPr="007F7C2C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Vlastník jednotky platí zálohy na služby, zahrnující zejména dodávku vody a odvádění odpadních vod, vytápění a ohřev vody, provoz výtahu, osvětlení společných prostor, úklid společných prostor, odvoz komunálního odpadu, pojištění domu a revize zařízení ve společných částech domu.</w:t>
      </w:r>
    </w:p>
    <w:p w:rsidR="007F7C2C" w:rsidRPr="007F7C2C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Příspěvky a zálohy platí vlastníci jednotek měsíčně, a to vždy do pětadvacátého dne příslušného kalendářního měsíce. Výše měsíční zálohy je stanovena Společenstvím jako měsíční podíl z předpokládaných ročních nákladů na příspěvky a na služby vyplývající z plánu nákladů na příslušný kalendářní rok.</w:t>
      </w:r>
    </w:p>
    <w:p w:rsidR="007F7C2C" w:rsidRPr="007F7C2C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Nebude-li rozhodnuto společenstvím jinak, rozúčtují se náklady na služby dle zvláštního právního předpisu.</w:t>
      </w:r>
    </w:p>
    <w:p w:rsidR="007F7C2C" w:rsidRPr="007F7C2C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  <w:bCs w:val="0"/>
        </w:rPr>
        <w:t>Příspěvky na správu a zálohy je společenství povinno za zúčtovací období, kterým je kalendářní rok, vyúčtovat a odevzdat k doručení vlastníku jednotky vyúčtování, a to do čtyř měsíců od konce zúčtovacího období. Nedoplatek nebo přeplatek vyplývající z vyúčtování je splatný do 7 kalendářních měsíců po uplynutí zúčtovacího období. Proti vyúčtování je přípustná reklamace ve lhůtě do 20 dnů od jejího doručení. O oprávněnosti reklamace rozhoduje výbor nebo pověřený vlastník. Je-li reklamace uznána oprávněnou, prodlužuje se splatnost nedoplatku či přeplatku z vyúčtování o 1 kalendářní měsíc.</w:t>
      </w:r>
    </w:p>
    <w:p w:rsidR="007F7C2C" w:rsidRPr="004A3141" w:rsidRDefault="007F7C2C" w:rsidP="007F7C2C">
      <w:pPr>
        <w:pStyle w:val="Zkladntext2"/>
        <w:numPr>
          <w:ilvl w:val="0"/>
          <w:numId w:val="36"/>
        </w:numPr>
        <w:jc w:val="both"/>
        <w:rPr>
          <w:rFonts w:ascii="Garamond" w:hAnsi="Garamond"/>
          <w:b w:val="0"/>
          <w:bCs w:val="0"/>
        </w:rPr>
      </w:pPr>
      <w:r w:rsidRPr="007F7C2C">
        <w:rPr>
          <w:rFonts w:ascii="Garamond" w:hAnsi="Garamond"/>
          <w:b w:val="0"/>
        </w:rPr>
        <w:t>Zprávu o použití a stavu příspěvků na správu domu a pozemku předkládá výbor ke schválení shromáždění spolu se zprávou o hospodaření společenství a s návrhem na schválení účetní závěrky. Nerozhodne-li schůze shromáždění jinak, nevyčerpaný zůstatek těchto finančních prostředků se převádí do následujícího roku.</w:t>
      </w:r>
    </w:p>
    <w:p w:rsidR="004A3141" w:rsidRPr="007F7C2C" w:rsidRDefault="004A3141" w:rsidP="004A3141">
      <w:pPr>
        <w:pStyle w:val="Zkladntext2"/>
        <w:ind w:left="660"/>
        <w:jc w:val="both"/>
        <w:rPr>
          <w:rFonts w:ascii="Garamond" w:hAnsi="Garamond"/>
          <w:b w:val="0"/>
          <w:bCs w:val="0"/>
        </w:rPr>
      </w:pPr>
    </w:p>
    <w:p w:rsidR="009A1F7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>Čl. XVII se vč. nadpisu zrušuje a dosavadní čl. XVIII se přečíslovává na čl. XVII.</w:t>
      </w:r>
    </w:p>
    <w:p w:rsidR="007F7C2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Čl. XVII odst. (1) zní: „Stanovy Společenství pro dům </w:t>
      </w:r>
      <w:proofErr w:type="spellStart"/>
      <w:r w:rsidRPr="007F7C2C">
        <w:t>čp</w:t>
      </w:r>
      <w:proofErr w:type="spellEnd"/>
      <w:r w:rsidRPr="007F7C2C">
        <w:t xml:space="preserve">. 450, ulice Místecká, Praha 18 Letňany, byly schváleny schůzí shromáždění vlastníků jednotek dne </w:t>
      </w:r>
      <w:proofErr w:type="gramStart"/>
      <w:r w:rsidRPr="007F7C2C">
        <w:t>15.11.2004</w:t>
      </w:r>
      <w:proofErr w:type="gramEnd"/>
      <w:r w:rsidRPr="007F7C2C">
        <w:t xml:space="preserve">. O jejich změně rozhodla schůze shromáždění vlastníků dne </w:t>
      </w:r>
      <w:proofErr w:type="gramStart"/>
      <w:r w:rsidRPr="007F7C2C">
        <w:t>25.6.2013</w:t>
      </w:r>
      <w:proofErr w:type="gramEnd"/>
      <w:r w:rsidRPr="007F7C2C">
        <w:t>.“</w:t>
      </w:r>
    </w:p>
    <w:p w:rsidR="007F7C2C" w:rsidRPr="007F7C2C" w:rsidRDefault="007F7C2C" w:rsidP="009A1F7C">
      <w:pPr>
        <w:pStyle w:val="1odstavec"/>
        <w:numPr>
          <w:ilvl w:val="0"/>
          <w:numId w:val="9"/>
        </w:numPr>
        <w:spacing w:after="120"/>
        <w:ind w:left="357" w:hanging="357"/>
        <w:jc w:val="both"/>
      </w:pPr>
      <w:r w:rsidRPr="007F7C2C">
        <w:t xml:space="preserve">Čl. XVII odst. (2) zní: „Nově se tyto stanovy podřizují zák. č. 82/2014 Sb., občanskému zákoníku, v platném znění, a byly schváleny schůzí shromáždění dne 30. října 2014.“ </w:t>
      </w:r>
    </w:p>
    <w:p w:rsidR="00801CBE" w:rsidRPr="007F7C2C" w:rsidRDefault="00801CBE" w:rsidP="007F7C2C">
      <w:pPr>
        <w:pStyle w:val="1odstavec"/>
        <w:spacing w:after="120"/>
        <w:ind w:left="357"/>
        <w:jc w:val="both"/>
      </w:pPr>
    </w:p>
    <w:p w:rsidR="00D57135" w:rsidRPr="007F7C2C" w:rsidRDefault="00D57135">
      <w:pPr>
        <w:ind w:left="360"/>
        <w:jc w:val="both"/>
        <w:rPr>
          <w:rFonts w:ascii="Garamond" w:hAnsi="Garamond"/>
        </w:rPr>
      </w:pPr>
      <w:r w:rsidRPr="007F7C2C">
        <w:rPr>
          <w:rFonts w:ascii="Garamond" w:hAnsi="Garamond"/>
        </w:rPr>
        <w:t xml:space="preserve">V Praze dne </w:t>
      </w:r>
      <w:r w:rsidR="007F7C2C" w:rsidRPr="007F7C2C">
        <w:rPr>
          <w:rFonts w:ascii="Garamond" w:hAnsi="Garamond"/>
        </w:rPr>
        <w:t>30</w:t>
      </w:r>
      <w:r w:rsidR="00801CBE" w:rsidRPr="007F7C2C">
        <w:rPr>
          <w:rFonts w:ascii="Garamond" w:hAnsi="Garamond"/>
        </w:rPr>
        <w:t xml:space="preserve">. </w:t>
      </w:r>
      <w:r w:rsidR="007F7C2C" w:rsidRPr="007F7C2C">
        <w:rPr>
          <w:rFonts w:ascii="Garamond" w:hAnsi="Garamond"/>
        </w:rPr>
        <w:t>října 2014</w:t>
      </w:r>
    </w:p>
    <w:p w:rsidR="00D57135" w:rsidRDefault="00D57135">
      <w:pPr>
        <w:rPr>
          <w:rFonts w:ascii="Garamond" w:hAnsi="Garamond"/>
          <w:b/>
          <w:bCs/>
        </w:rPr>
      </w:pPr>
    </w:p>
    <w:p w:rsidR="00D57135" w:rsidRDefault="00D57135">
      <w:pPr>
        <w:rPr>
          <w:rFonts w:ascii="Garamond" w:hAnsi="Garamond"/>
          <w:b/>
          <w:bCs/>
        </w:rPr>
      </w:pPr>
    </w:p>
    <w:sectPr w:rsidR="00D57135" w:rsidSect="000438C5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6CA" w:rsidRDefault="00A766CA">
      <w:r>
        <w:separator/>
      </w:r>
    </w:p>
  </w:endnote>
  <w:endnote w:type="continuationSeparator" w:id="0">
    <w:p w:rsidR="00A766CA" w:rsidRDefault="00A7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CA" w:rsidRDefault="00CF07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766C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766CA" w:rsidRDefault="00A766C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CA" w:rsidRPr="004A3141" w:rsidRDefault="004A3141" w:rsidP="004A3141">
    <w:pPr>
      <w:pStyle w:val="Zpat"/>
      <w:framePr w:w="1604" w:wrap="around" w:vAnchor="text" w:hAnchor="page" w:x="9212" w:y="7"/>
      <w:jc w:val="right"/>
      <w:rPr>
        <w:rStyle w:val="slostrnky"/>
        <w:rFonts w:ascii="Myriad Pro" w:hAnsi="Myriad Pro"/>
        <w:sz w:val="22"/>
      </w:rPr>
    </w:pPr>
    <w:r w:rsidRPr="004A3141">
      <w:rPr>
        <w:rStyle w:val="slostrnky"/>
        <w:rFonts w:ascii="Myriad Pro" w:hAnsi="Myriad Pro"/>
        <w:sz w:val="22"/>
      </w:rPr>
      <w:t xml:space="preserve">strana </w:t>
    </w:r>
    <w:r w:rsidR="00CF0734" w:rsidRPr="004A3141">
      <w:rPr>
        <w:rStyle w:val="slostrnky"/>
        <w:rFonts w:ascii="Myriad Pro" w:hAnsi="Myriad Pro"/>
        <w:sz w:val="22"/>
      </w:rPr>
      <w:fldChar w:fldCharType="begin"/>
    </w:r>
    <w:r w:rsidR="00A766CA" w:rsidRPr="004A3141">
      <w:rPr>
        <w:rStyle w:val="slostrnky"/>
        <w:rFonts w:ascii="Myriad Pro" w:hAnsi="Myriad Pro"/>
        <w:sz w:val="22"/>
      </w:rPr>
      <w:instrText xml:space="preserve">PAGE  </w:instrText>
    </w:r>
    <w:r w:rsidR="00CF0734" w:rsidRPr="004A3141">
      <w:rPr>
        <w:rStyle w:val="slostrnky"/>
        <w:rFonts w:ascii="Myriad Pro" w:hAnsi="Myriad Pro"/>
        <w:sz w:val="22"/>
      </w:rPr>
      <w:fldChar w:fldCharType="separate"/>
    </w:r>
    <w:r w:rsidR="00D359BF">
      <w:rPr>
        <w:rStyle w:val="slostrnky"/>
        <w:rFonts w:ascii="Myriad Pro" w:hAnsi="Myriad Pro"/>
        <w:noProof/>
        <w:sz w:val="22"/>
      </w:rPr>
      <w:t>2</w:t>
    </w:r>
    <w:r w:rsidR="00CF0734" w:rsidRPr="004A3141">
      <w:rPr>
        <w:rStyle w:val="slostrnky"/>
        <w:rFonts w:ascii="Myriad Pro" w:hAnsi="Myriad Pro"/>
        <w:sz w:val="22"/>
      </w:rPr>
      <w:fldChar w:fldCharType="end"/>
    </w:r>
    <w:r w:rsidRPr="004A3141">
      <w:rPr>
        <w:rStyle w:val="slostrnky"/>
        <w:rFonts w:ascii="Myriad Pro" w:hAnsi="Myriad Pro"/>
        <w:sz w:val="22"/>
      </w:rPr>
      <w:t xml:space="preserve"> </w:t>
    </w:r>
    <w:proofErr w:type="gramStart"/>
    <w:r w:rsidRPr="004A3141">
      <w:rPr>
        <w:rStyle w:val="slostrnky"/>
        <w:rFonts w:ascii="Myriad Pro" w:hAnsi="Myriad Pro"/>
        <w:sz w:val="22"/>
      </w:rPr>
      <w:t>ze</w:t>
    </w:r>
    <w:proofErr w:type="gramEnd"/>
    <w:r w:rsidRPr="004A3141">
      <w:rPr>
        <w:rStyle w:val="slostrnky"/>
        <w:rFonts w:ascii="Myriad Pro" w:hAnsi="Myriad Pro"/>
        <w:sz w:val="22"/>
      </w:rPr>
      <w:t xml:space="preserve"> </w:t>
    </w:r>
    <w:fldSimple w:instr=" SECTIONPAGES  \* Arabic  \* MERGEFORMAT ">
      <w:r w:rsidR="00D359BF" w:rsidRPr="00D359BF">
        <w:rPr>
          <w:rStyle w:val="slostrnky"/>
          <w:rFonts w:ascii="Myriad Pro" w:hAnsi="Myriad Pro"/>
          <w:noProof/>
          <w:sz w:val="22"/>
        </w:rPr>
        <w:t>7</w:t>
      </w:r>
    </w:fldSimple>
  </w:p>
  <w:p w:rsidR="00A766CA" w:rsidRPr="004A3141" w:rsidRDefault="00A766CA">
    <w:pPr>
      <w:pStyle w:val="Zpat"/>
      <w:ind w:right="360"/>
      <w:rPr>
        <w:rFonts w:ascii="Myriad Pro" w:hAnsi="Myriad Pro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6CA" w:rsidRDefault="00A766CA">
      <w:r>
        <w:separator/>
      </w:r>
    </w:p>
  </w:footnote>
  <w:footnote w:type="continuationSeparator" w:id="0">
    <w:p w:rsidR="00A766CA" w:rsidRDefault="00A76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312"/>
    <w:multiLevelType w:val="hybridMultilevel"/>
    <w:tmpl w:val="EB500F8E"/>
    <w:lvl w:ilvl="0" w:tplc="45789B6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45789B64">
      <w:start w:val="1"/>
      <w:numFmt w:val="decimal"/>
      <w:lvlText w:val="(%4)"/>
      <w:lvlJc w:val="left"/>
      <w:pPr>
        <w:ind w:left="3371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9507A1"/>
    <w:multiLevelType w:val="hybridMultilevel"/>
    <w:tmpl w:val="A79C81F4"/>
    <w:lvl w:ilvl="0" w:tplc="6F7086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1435F"/>
    <w:multiLevelType w:val="hybridMultilevel"/>
    <w:tmpl w:val="DDFEF04A"/>
    <w:lvl w:ilvl="0" w:tplc="B9C8AEB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EF4A7BA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067C6123"/>
    <w:multiLevelType w:val="hybridMultilevel"/>
    <w:tmpl w:val="8828DD70"/>
    <w:lvl w:ilvl="0" w:tplc="1D220E6E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8FA4FC5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06FA5C82"/>
    <w:multiLevelType w:val="hybridMultilevel"/>
    <w:tmpl w:val="B540E190"/>
    <w:lvl w:ilvl="0" w:tplc="2EE6859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9F0A05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81004D8"/>
    <w:multiLevelType w:val="hybridMultilevel"/>
    <w:tmpl w:val="C9A69614"/>
    <w:lvl w:ilvl="0" w:tplc="ADA2B148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0BD7606D"/>
    <w:multiLevelType w:val="hybridMultilevel"/>
    <w:tmpl w:val="27A41802"/>
    <w:lvl w:ilvl="0" w:tplc="0688CD04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4BE6A3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0D023AFD"/>
    <w:multiLevelType w:val="hybridMultilevel"/>
    <w:tmpl w:val="256E409C"/>
    <w:lvl w:ilvl="0" w:tplc="070E0FEA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296A2700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0E9D51FE"/>
    <w:multiLevelType w:val="hybridMultilevel"/>
    <w:tmpl w:val="35DC8E5E"/>
    <w:lvl w:ilvl="0" w:tplc="ECE0F46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4314D8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A207D4"/>
    <w:multiLevelType w:val="hybridMultilevel"/>
    <w:tmpl w:val="01626002"/>
    <w:lvl w:ilvl="0" w:tplc="5AA00F9E">
      <w:start w:val="1"/>
      <w:numFmt w:val="decimal"/>
      <w:lvlText w:val="(%1)"/>
      <w:lvlJc w:val="left"/>
      <w:pPr>
        <w:tabs>
          <w:tab w:val="num" w:pos="1006"/>
        </w:tabs>
        <w:ind w:left="100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0">
    <w:nsid w:val="10985191"/>
    <w:multiLevelType w:val="hybridMultilevel"/>
    <w:tmpl w:val="D42068F6"/>
    <w:lvl w:ilvl="0" w:tplc="5AA00F9E">
      <w:start w:val="1"/>
      <w:numFmt w:val="decimal"/>
      <w:lvlText w:val="(%1)"/>
      <w:lvlJc w:val="left"/>
      <w:pPr>
        <w:tabs>
          <w:tab w:val="num" w:pos="1428"/>
        </w:tabs>
        <w:ind w:left="1428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78"/>
        </w:tabs>
        <w:ind w:left="217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8"/>
        </w:tabs>
        <w:ind w:left="289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8"/>
        </w:tabs>
        <w:ind w:left="361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8"/>
        </w:tabs>
        <w:ind w:left="433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8"/>
        </w:tabs>
        <w:ind w:left="505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8"/>
        </w:tabs>
        <w:ind w:left="577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8"/>
        </w:tabs>
        <w:ind w:left="649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8"/>
        </w:tabs>
        <w:ind w:left="7218" w:hanging="180"/>
      </w:pPr>
    </w:lvl>
  </w:abstractNum>
  <w:abstractNum w:abstractNumId="11">
    <w:nsid w:val="118124EA"/>
    <w:multiLevelType w:val="hybridMultilevel"/>
    <w:tmpl w:val="8AAC52CA"/>
    <w:lvl w:ilvl="0" w:tplc="5AA00F9E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4E1A89CA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1A04479C"/>
    <w:multiLevelType w:val="multilevel"/>
    <w:tmpl w:val="C206F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0F4CAE"/>
    <w:multiLevelType w:val="multilevel"/>
    <w:tmpl w:val="0B66C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6705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9AA07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6691C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C9026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422741"/>
    <w:multiLevelType w:val="hybridMultilevel"/>
    <w:tmpl w:val="DF5A3DFA"/>
    <w:lvl w:ilvl="0" w:tplc="45789B64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82E44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ED17FF5"/>
    <w:multiLevelType w:val="multilevel"/>
    <w:tmpl w:val="7B36466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9F0139"/>
    <w:multiLevelType w:val="hybridMultilevel"/>
    <w:tmpl w:val="0AF60416"/>
    <w:lvl w:ilvl="0" w:tplc="370C567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2C0ADE7C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5D387E2A"/>
    <w:multiLevelType w:val="hybridMultilevel"/>
    <w:tmpl w:val="CA98D9EE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60CB081C"/>
    <w:multiLevelType w:val="hybridMultilevel"/>
    <w:tmpl w:val="7C507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E6745"/>
    <w:multiLevelType w:val="hybridMultilevel"/>
    <w:tmpl w:val="F892AF9A"/>
    <w:lvl w:ilvl="0" w:tplc="00AAE76E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69790652"/>
    <w:multiLevelType w:val="hybridMultilevel"/>
    <w:tmpl w:val="C62C3550"/>
    <w:lvl w:ilvl="0" w:tplc="828CC6B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6B7359D1"/>
    <w:multiLevelType w:val="hybridMultilevel"/>
    <w:tmpl w:val="DD50EFDA"/>
    <w:lvl w:ilvl="0" w:tplc="C278E904">
      <w:start w:val="2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6417"/>
    <w:multiLevelType w:val="hybridMultilevel"/>
    <w:tmpl w:val="D328544E"/>
    <w:lvl w:ilvl="0" w:tplc="5AA00F9E">
      <w:start w:val="1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707219BE"/>
    <w:multiLevelType w:val="hybridMultilevel"/>
    <w:tmpl w:val="7C487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9803110">
      <w:start w:val="1"/>
      <w:numFmt w:val="lowerLetter"/>
      <w:lvlText w:val="%2)"/>
      <w:lvlJc w:val="left"/>
      <w:pPr>
        <w:ind w:left="1440" w:hanging="360"/>
      </w:pPr>
      <w:rPr>
        <w:rFonts w:ascii="Garamond" w:hAnsi="Garamond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610AB"/>
    <w:multiLevelType w:val="hybridMultilevel"/>
    <w:tmpl w:val="67189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5786B"/>
    <w:multiLevelType w:val="hybridMultilevel"/>
    <w:tmpl w:val="134A6FD0"/>
    <w:lvl w:ilvl="0" w:tplc="F23EB958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77F250D6"/>
    <w:multiLevelType w:val="hybridMultilevel"/>
    <w:tmpl w:val="E4C63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97C2E"/>
    <w:multiLevelType w:val="hybridMultilevel"/>
    <w:tmpl w:val="184C8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5789B6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19"/>
  </w:num>
  <w:num w:numId="10">
    <w:abstractNumId w:val="27"/>
  </w:num>
  <w:num w:numId="11">
    <w:abstractNumId w:val="21"/>
  </w:num>
  <w:num w:numId="12">
    <w:abstractNumId w:val="30"/>
  </w:num>
  <w:num w:numId="13">
    <w:abstractNumId w:val="3"/>
  </w:num>
  <w:num w:numId="14">
    <w:abstractNumId w:val="6"/>
  </w:num>
  <w:num w:numId="15">
    <w:abstractNumId w:val="2"/>
  </w:num>
  <w:num w:numId="16">
    <w:abstractNumId w:val="25"/>
  </w:num>
  <w:num w:numId="17">
    <w:abstractNumId w:val="24"/>
  </w:num>
  <w:num w:numId="18">
    <w:abstractNumId w:val="1"/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6"/>
  </w:num>
  <w:num w:numId="23">
    <w:abstractNumId w:val="23"/>
  </w:num>
  <w:num w:numId="24">
    <w:abstractNumId w:val="31"/>
  </w:num>
  <w:num w:numId="25">
    <w:abstractNumId w:val="28"/>
  </w:num>
  <w:num w:numId="26">
    <w:abstractNumId w:val="17"/>
  </w:num>
  <w:num w:numId="27">
    <w:abstractNumId w:val="29"/>
  </w:num>
  <w:num w:numId="28">
    <w:abstractNumId w:val="32"/>
  </w:num>
  <w:num w:numId="29">
    <w:abstractNumId w:val="15"/>
  </w:num>
  <w:num w:numId="30">
    <w:abstractNumId w:val="14"/>
  </w:num>
  <w:num w:numId="31">
    <w:abstractNumId w:val="20"/>
  </w:num>
  <w:num w:numId="32">
    <w:abstractNumId w:val="0"/>
  </w:num>
  <w:num w:numId="33">
    <w:abstractNumId w:val="22"/>
  </w:num>
  <w:num w:numId="34">
    <w:abstractNumId w:val="12"/>
  </w:num>
  <w:num w:numId="35">
    <w:abstractNumId w:val="13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031"/>
    <w:rsid w:val="000438C5"/>
    <w:rsid w:val="000C1AD4"/>
    <w:rsid w:val="0010535E"/>
    <w:rsid w:val="00105B53"/>
    <w:rsid w:val="002478AD"/>
    <w:rsid w:val="0026245A"/>
    <w:rsid w:val="00340CDD"/>
    <w:rsid w:val="00341B70"/>
    <w:rsid w:val="004038D4"/>
    <w:rsid w:val="004A3141"/>
    <w:rsid w:val="00543F89"/>
    <w:rsid w:val="00564D47"/>
    <w:rsid w:val="0059062A"/>
    <w:rsid w:val="00737B18"/>
    <w:rsid w:val="0075512F"/>
    <w:rsid w:val="007F7C2C"/>
    <w:rsid w:val="00801CBE"/>
    <w:rsid w:val="008A5031"/>
    <w:rsid w:val="008A70BD"/>
    <w:rsid w:val="00941AB9"/>
    <w:rsid w:val="009502CB"/>
    <w:rsid w:val="009A1F7C"/>
    <w:rsid w:val="00A766CA"/>
    <w:rsid w:val="00A95907"/>
    <w:rsid w:val="00B05564"/>
    <w:rsid w:val="00B22EE9"/>
    <w:rsid w:val="00B7715B"/>
    <w:rsid w:val="00B931AB"/>
    <w:rsid w:val="00CA3BC0"/>
    <w:rsid w:val="00CB6590"/>
    <w:rsid w:val="00CF0734"/>
    <w:rsid w:val="00D10029"/>
    <w:rsid w:val="00D359BF"/>
    <w:rsid w:val="00D50E61"/>
    <w:rsid w:val="00D57135"/>
    <w:rsid w:val="00DB2E68"/>
    <w:rsid w:val="00F1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8C5"/>
    <w:rPr>
      <w:sz w:val="24"/>
      <w:szCs w:val="24"/>
    </w:rPr>
  </w:style>
  <w:style w:type="paragraph" w:styleId="Nadpis1">
    <w:name w:val="heading 1"/>
    <w:basedOn w:val="Normln"/>
    <w:next w:val="Normln"/>
    <w:qFormat/>
    <w:rsid w:val="000438C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438C5"/>
    <w:pPr>
      <w:keepNext/>
      <w:jc w:val="center"/>
      <w:outlineLvl w:val="1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438C5"/>
    <w:pPr>
      <w:jc w:val="both"/>
    </w:pPr>
  </w:style>
  <w:style w:type="paragraph" w:styleId="Zkladntext2">
    <w:name w:val="Body Text 2"/>
    <w:basedOn w:val="Normln"/>
    <w:semiHidden/>
    <w:rsid w:val="000438C5"/>
    <w:rPr>
      <w:b/>
      <w:bCs/>
    </w:rPr>
  </w:style>
  <w:style w:type="paragraph" w:styleId="Zpat">
    <w:name w:val="footer"/>
    <w:basedOn w:val="Normln"/>
    <w:semiHidden/>
    <w:rsid w:val="000438C5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semiHidden/>
    <w:rsid w:val="000438C5"/>
  </w:style>
  <w:style w:type="paragraph" w:customStyle="1" w:styleId="1odstavec">
    <w:name w:val="(1) odstavec"/>
    <w:basedOn w:val="Normln"/>
    <w:link w:val="1odstavecChar"/>
    <w:qFormat/>
    <w:rsid w:val="00D57135"/>
    <w:rPr>
      <w:rFonts w:ascii="Garamond" w:hAnsi="Garamon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15B"/>
    <w:rPr>
      <w:rFonts w:ascii="Tahoma" w:hAnsi="Tahoma" w:cs="Tahoma"/>
      <w:sz w:val="16"/>
      <w:szCs w:val="16"/>
    </w:rPr>
  </w:style>
  <w:style w:type="character" w:customStyle="1" w:styleId="1odstavecChar">
    <w:name w:val="(1) odstavec Char"/>
    <w:basedOn w:val="Standardnpsmoodstavce"/>
    <w:link w:val="1odstavec"/>
    <w:rsid w:val="00D57135"/>
    <w:rPr>
      <w:rFonts w:ascii="Garamond" w:hAnsi="Garamond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1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7B18"/>
    <w:pPr>
      <w:ind w:left="720"/>
      <w:contextualSpacing/>
    </w:pPr>
  </w:style>
  <w:style w:type="paragraph" w:customStyle="1" w:styleId="proklad">
    <w:name w:val="proklad"/>
    <w:basedOn w:val="Normln"/>
    <w:autoRedefine/>
    <w:qFormat/>
    <w:rsid w:val="00D50E61"/>
    <w:pPr>
      <w:tabs>
        <w:tab w:val="left" w:pos="1985"/>
        <w:tab w:val="left" w:pos="5529"/>
      </w:tabs>
      <w:spacing w:after="200" w:line="276" w:lineRule="auto"/>
      <w:jc w:val="center"/>
    </w:pPr>
    <w:rPr>
      <w:rFonts w:ascii="Garamond" w:eastAsiaTheme="minorEastAsia" w:hAnsi="Garamond" w:cstheme="minorBidi"/>
      <w:spacing w:val="40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4A3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3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555CD-3551-486F-9EDD-FCAE9971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3197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PRVNÍ</vt:lpstr>
    </vt:vector>
  </TitlesOfParts>
  <Company>Vcela S.D.</Company>
  <LinksUpToDate>false</LinksUpToDate>
  <CharactersWithSpaces>20438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PRVNÍ</dc:title>
  <dc:creator>Administrator</dc:creator>
  <cp:lastModifiedBy>Mgr. Martin Drtina</cp:lastModifiedBy>
  <cp:revision>6</cp:revision>
  <cp:lastPrinted>2014-10-12T20:48:00Z</cp:lastPrinted>
  <dcterms:created xsi:type="dcterms:W3CDTF">2014-09-29T20:37:00Z</dcterms:created>
  <dcterms:modified xsi:type="dcterms:W3CDTF">2014-10-12T20:51:00Z</dcterms:modified>
</cp:coreProperties>
</file>