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5" w:rsidRDefault="00D57135">
      <w:pPr>
        <w:rPr>
          <w:rFonts w:ascii="Garamond" w:hAnsi="Garamond"/>
          <w:b/>
          <w:bCs/>
          <w:sz w:val="36"/>
        </w:rPr>
      </w:pPr>
    </w:p>
    <w:p w:rsidR="00D57135" w:rsidRDefault="00801CBE">
      <w:pPr>
        <w:pStyle w:val="Nadpis2"/>
        <w:rPr>
          <w:rFonts w:ascii="Garamond" w:hAnsi="Garamond"/>
          <w:sz w:val="28"/>
        </w:rPr>
      </w:pPr>
      <w:r>
        <w:rPr>
          <w:rFonts w:ascii="Garamond" w:hAnsi="Garamond"/>
        </w:rPr>
        <w:t>Návrh z</w:t>
      </w:r>
      <w:r w:rsidR="00D50E61">
        <w:rPr>
          <w:rFonts w:ascii="Garamond" w:hAnsi="Garamond"/>
        </w:rPr>
        <w:t>měn</w:t>
      </w:r>
      <w:r>
        <w:rPr>
          <w:rFonts w:ascii="Garamond" w:hAnsi="Garamond"/>
        </w:rPr>
        <w:t>y</w:t>
      </w:r>
      <w:r w:rsidR="00D50E61">
        <w:rPr>
          <w:rFonts w:ascii="Garamond" w:hAnsi="Garamond"/>
        </w:rPr>
        <w:t xml:space="preserve"> stanov</w:t>
      </w:r>
    </w:p>
    <w:p w:rsidR="00D57135" w:rsidRDefault="00D57135">
      <w:pPr>
        <w:jc w:val="center"/>
        <w:rPr>
          <w:rFonts w:ascii="Garamond" w:hAnsi="Garamond"/>
          <w:b/>
          <w:bCs/>
          <w:sz w:val="28"/>
        </w:rPr>
      </w:pPr>
    </w:p>
    <w:p w:rsidR="00D57135" w:rsidRDefault="00D57135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Společenství pro dům </w:t>
      </w:r>
      <w:proofErr w:type="spellStart"/>
      <w:r>
        <w:rPr>
          <w:rFonts w:ascii="Garamond" w:hAnsi="Garamond"/>
          <w:b/>
          <w:bCs/>
          <w:sz w:val="28"/>
        </w:rPr>
        <w:t>čp</w:t>
      </w:r>
      <w:proofErr w:type="spellEnd"/>
      <w:r>
        <w:rPr>
          <w:rFonts w:ascii="Garamond" w:hAnsi="Garamond"/>
          <w:b/>
          <w:bCs/>
          <w:sz w:val="28"/>
        </w:rPr>
        <w:t xml:space="preserve">. 450  </w:t>
      </w:r>
    </w:p>
    <w:p w:rsidR="00D57135" w:rsidRDefault="00D57135">
      <w:pPr>
        <w:jc w:val="center"/>
        <w:rPr>
          <w:rFonts w:ascii="Garamond" w:hAnsi="Garamond"/>
        </w:rPr>
      </w:pPr>
    </w:p>
    <w:p w:rsidR="00D57135" w:rsidRDefault="00D57135">
      <w:pPr>
        <w:jc w:val="center"/>
        <w:rPr>
          <w:rFonts w:ascii="Garamond" w:hAnsi="Garamond"/>
          <w:b/>
          <w:bCs/>
        </w:rPr>
      </w:pPr>
    </w:p>
    <w:p w:rsidR="00D57135" w:rsidRDefault="00D57135">
      <w:pPr>
        <w:jc w:val="center"/>
        <w:rPr>
          <w:rFonts w:ascii="Garamond" w:hAnsi="Garamond"/>
        </w:rPr>
      </w:pPr>
      <w:r>
        <w:rPr>
          <w:rFonts w:ascii="Garamond" w:hAnsi="Garamond"/>
        </w:rPr>
        <w:t>Čl. I</w:t>
      </w:r>
    </w:p>
    <w:p w:rsidR="00D57135" w:rsidRDefault="00D57135">
      <w:pPr>
        <w:jc w:val="center"/>
        <w:rPr>
          <w:rFonts w:ascii="Garamond" w:hAnsi="Garamond"/>
        </w:rPr>
      </w:pPr>
    </w:p>
    <w:p w:rsidR="00D50E61" w:rsidRDefault="00D50E61" w:rsidP="00D50E61">
      <w:pPr>
        <w:pStyle w:val="1odstavec"/>
        <w:ind w:left="660"/>
      </w:pPr>
      <w:r>
        <w:t xml:space="preserve">Stanovy společenství vlastníků jednotek Společenství pro dům </w:t>
      </w:r>
      <w:proofErr w:type="spellStart"/>
      <w:r>
        <w:t>čp</w:t>
      </w:r>
      <w:proofErr w:type="spellEnd"/>
      <w:r>
        <w:t xml:space="preserve">. 450, ulice Místecká, Praha 18 – Letňany (dále jen </w:t>
      </w:r>
      <w:r w:rsidRPr="00D50E61">
        <w:rPr>
          <w:i/>
        </w:rPr>
        <w:t>„společenství“</w:t>
      </w:r>
      <w:r w:rsidRPr="00D50E61">
        <w:t>)</w:t>
      </w:r>
      <w:r>
        <w:t xml:space="preserve"> ze dne </w:t>
      </w:r>
      <w:proofErr w:type="gramStart"/>
      <w:r>
        <w:t>15.11.2004</w:t>
      </w:r>
      <w:proofErr w:type="gramEnd"/>
      <w:r>
        <w:t xml:space="preserve"> </w:t>
      </w:r>
    </w:p>
    <w:p w:rsidR="00D50E61" w:rsidRDefault="00D50E61" w:rsidP="00D50E61">
      <w:pPr>
        <w:pStyle w:val="proklad"/>
      </w:pPr>
    </w:p>
    <w:p w:rsidR="00D57135" w:rsidRDefault="00D50E61" w:rsidP="00D50E61">
      <w:pPr>
        <w:pStyle w:val="proklad"/>
      </w:pPr>
      <w:proofErr w:type="gramStart"/>
      <w:r>
        <w:t>se mění</w:t>
      </w:r>
      <w:proofErr w:type="gramEnd"/>
      <w:r>
        <w:t xml:space="preserve"> takto: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II odst. (2) se číslovka „18“ za slovem „Praha“ nahrazuje číslovkou „9“.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III odst. (1) se za slova „Správou domu se rozumí“ vkládá slovo „zejména“.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III odst. (1) písm. d) se zrušují slova „zařízení pro příjem televizního a rozhlasového signálu a“.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III odst. (5) se slova „, zařízení pro příjem televizního a rozhlasového signálu“ nahrazují slovy „a pojištění domu“.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 odst. (2) se ve druhé větě zrušují slova „právnické osoby“.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 odst. (5) v první větě za středníkem se za slovo „počíná“ vkládá slovo „běžet“.</w:t>
      </w:r>
    </w:p>
    <w:p w:rsidR="00801CBE" w:rsidRDefault="00801CBE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VII odst. (3) písm. n) se před slova „společných částí domu“ vkládají slova „pozemku a“.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VII odst. (7) se za slova „na domovní vývěsce společenství“ vkládají slova „, případně rovněž způsobem umožňujícím dálkový přístup.“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VII odst. (8) se slovo „doručena“ nahrazuje slovy „předána k doručení“.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VII odst. (18) se slovo „zapisovatel“ nahrazuje slovem „ověřovatel“.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VIII odst. (2) se zrušují slova „a dalším členem výboru. Podepisuje-li předseda spolu s místopředsedou, je podpis místopředsedy považován za podpis dalšího člena výboru.“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 w:rsidRPr="00D50E61">
        <w:t>Čl. VIII odst. (5) zní: „</w:t>
      </w:r>
      <w:r w:rsidRPr="00D50E61">
        <w:t>Výbor koná své schůze podle potřeby, nejméně však jednou za čtvrtletí; schůzi lze nahradit telekonferencí či e-</w:t>
      </w:r>
      <w:proofErr w:type="spellStart"/>
      <w:r w:rsidRPr="00D50E61">
        <w:t>mailovou</w:t>
      </w:r>
      <w:proofErr w:type="spellEnd"/>
      <w:r w:rsidRPr="00D50E61">
        <w:t xml:space="preserve"> konferencí rozeslanou všem členům výboru. Připouští se hlasování o určité záležitosti způsobem umožňujícím dálkový přístup, pokud je vyjádření členů výboru trvale zachytitelné a je z něj zřejmý projev vůle.</w:t>
      </w:r>
      <w:r w:rsidRPr="00D50E61">
        <w:t>“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VIII odst. (10) písm. d) se vypouští slova „určeným zvláštním předpisem k vedení obchodního rejstříku“.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Čl. XI odst. (1) zní: „</w:t>
      </w:r>
      <w:r w:rsidRPr="00D50E61">
        <w:t>Shromáždění nebo výbor mohou rozhodnout, že určité činnosti bude pro společenství vykonávat zaměstnanec (zaměstnanci) společenství na základě pracovní smlouvy, dohody o pracovní činnosti nebo dohody o provedení práce.</w:t>
      </w:r>
      <w:r>
        <w:t>“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XI odst. (2) se na konci za slovo shromážděním vkládají slova „nebo výborem“.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XI se odst. (4) zrušuje.</w:t>
      </w:r>
    </w:p>
    <w:p w:rsidR="00D50E61" w:rsidRP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lastRenderedPageBreak/>
        <w:t>Čl. XVII odst. (2) zní: „</w:t>
      </w:r>
      <w:r w:rsidRPr="00D50E61">
        <w:t>Vyúčtování záloh na úhradu za služby provádí výbor, pověřený vlastník nebo správce jedenkrát za zúčtovací období, kterým je kalendářní rok, nejpozději do 4 kalendářních měsíců po jeho skončení; v souladu se stanoveným způsobem rozúčtování [čl. VII odst. 3 písm. h)]. Nedoplatek nebo přeplatek vyplývající z vyúčtování je splatný do 7 kalendářních měsíců po uplynutí zúčtovacího období. Proti vyúčtování je přípustná reklamace ve lhůtě do 20 dnů od jejího doručení. O oprávněnosti reklamace rozhoduje výbor nebo pověřený vlastník. Je-li reklamace uznána oprávněnou, prodlužuje se splatnost nedoplatku či přeplatku z vyúčtování o 1 kalendářní měsíc.</w:t>
      </w:r>
      <w:r>
        <w:t>“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Nadpis čl. XVIII se za slovy „Závěrečná ustanovení“ doplňuje o slova „ a přehled novelizací“.</w:t>
      </w:r>
    </w:p>
    <w:p w:rsid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 čl. XVIII se věta „</w:t>
      </w:r>
      <w:r w:rsidRPr="00D50E61">
        <w:t xml:space="preserve">Stanovy Společenství pro dům </w:t>
      </w:r>
      <w:proofErr w:type="spellStart"/>
      <w:r w:rsidRPr="00D50E61">
        <w:t>čp</w:t>
      </w:r>
      <w:proofErr w:type="spellEnd"/>
      <w:r w:rsidRPr="00D50E61">
        <w:t xml:space="preserve">. 450, ulice Místecká, Praha 18 Letňany, byly schváleny shromáždění vlastníků jednotek dne </w:t>
      </w:r>
      <w:proofErr w:type="gramStart"/>
      <w:r w:rsidRPr="00D50E61">
        <w:t>15.11.2004</w:t>
      </w:r>
      <w:proofErr w:type="gramEnd"/>
      <w:r w:rsidRPr="00D50E61">
        <w:t>.</w:t>
      </w:r>
      <w:r>
        <w:t>“ zařazuje pod odst. (1).</w:t>
      </w:r>
    </w:p>
    <w:p w:rsidR="00D50E61" w:rsidRPr="00D50E61" w:rsidRDefault="00D50E61" w:rsidP="00D50E61">
      <w:pPr>
        <w:pStyle w:val="1odstavec"/>
        <w:numPr>
          <w:ilvl w:val="0"/>
          <w:numId w:val="9"/>
        </w:numPr>
        <w:spacing w:after="120"/>
        <w:ind w:left="357" w:hanging="357"/>
        <w:jc w:val="both"/>
      </w:pPr>
      <w:r>
        <w:t>V čl. XVIII se vkládá odst. (2) ve znění: „</w:t>
      </w:r>
      <w:r w:rsidRPr="00D50E61">
        <w:t xml:space="preserve">Novelizované znění stanov schválilo shromáždění vlastníků jednotek dne </w:t>
      </w:r>
      <w:proofErr w:type="gramStart"/>
      <w:r w:rsidRPr="00D50E61">
        <w:t>25.6.2013</w:t>
      </w:r>
      <w:proofErr w:type="gramEnd"/>
      <w:r w:rsidRPr="00D50E61">
        <w:t>.</w:t>
      </w:r>
      <w:r>
        <w:t>“</w:t>
      </w:r>
    </w:p>
    <w:p w:rsidR="00D50E61" w:rsidRDefault="00D50E61">
      <w:pPr>
        <w:ind w:left="360"/>
        <w:jc w:val="both"/>
        <w:rPr>
          <w:rFonts w:ascii="Garamond" w:hAnsi="Garamond"/>
        </w:rPr>
      </w:pPr>
    </w:p>
    <w:p w:rsidR="00D50E61" w:rsidRDefault="00D50E61">
      <w:pPr>
        <w:ind w:left="360"/>
        <w:jc w:val="both"/>
        <w:rPr>
          <w:rFonts w:ascii="Garamond" w:hAnsi="Garamond"/>
        </w:rPr>
      </w:pPr>
    </w:p>
    <w:p w:rsidR="00D50E61" w:rsidRDefault="00D50E61">
      <w:pPr>
        <w:ind w:left="360"/>
        <w:jc w:val="both"/>
        <w:rPr>
          <w:rFonts w:ascii="Garamond" w:hAnsi="Garamond"/>
        </w:rPr>
      </w:pPr>
    </w:p>
    <w:p w:rsidR="00D50E61" w:rsidRDefault="00D50E61">
      <w:pPr>
        <w:ind w:left="360"/>
        <w:jc w:val="both"/>
        <w:rPr>
          <w:rFonts w:ascii="Garamond" w:hAnsi="Garamond"/>
        </w:rPr>
      </w:pPr>
    </w:p>
    <w:p w:rsidR="00801CBE" w:rsidRDefault="00801CBE">
      <w:pPr>
        <w:ind w:left="360"/>
        <w:jc w:val="both"/>
        <w:rPr>
          <w:rFonts w:ascii="Garamond" w:hAnsi="Garamond"/>
        </w:rPr>
      </w:pPr>
    </w:p>
    <w:p w:rsidR="00801CBE" w:rsidRDefault="00801CBE">
      <w:pPr>
        <w:ind w:left="360"/>
        <w:jc w:val="both"/>
        <w:rPr>
          <w:rFonts w:ascii="Garamond" w:hAnsi="Garamond"/>
        </w:rPr>
      </w:pPr>
    </w:p>
    <w:p w:rsidR="00801CBE" w:rsidRDefault="00801CBE">
      <w:pPr>
        <w:ind w:left="360"/>
        <w:jc w:val="both"/>
        <w:rPr>
          <w:rFonts w:ascii="Garamond" w:hAnsi="Garamond"/>
        </w:rPr>
      </w:pPr>
    </w:p>
    <w:p w:rsidR="00801CBE" w:rsidRDefault="00801CBE">
      <w:pPr>
        <w:ind w:left="360"/>
        <w:jc w:val="both"/>
        <w:rPr>
          <w:rFonts w:ascii="Garamond" w:hAnsi="Garamond"/>
        </w:rPr>
      </w:pPr>
    </w:p>
    <w:p w:rsidR="00D57135" w:rsidRDefault="00D57135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Praze dne </w:t>
      </w:r>
      <w:r w:rsidR="00801CBE">
        <w:rPr>
          <w:rFonts w:ascii="Garamond" w:hAnsi="Garamond"/>
        </w:rPr>
        <w:t>25. června 2013</w:t>
      </w:r>
    </w:p>
    <w:p w:rsidR="00D57135" w:rsidRDefault="00D57135">
      <w:pPr>
        <w:rPr>
          <w:rFonts w:ascii="Garamond" w:hAnsi="Garamond"/>
          <w:b/>
          <w:bCs/>
        </w:rPr>
      </w:pPr>
    </w:p>
    <w:p w:rsidR="00D57135" w:rsidRDefault="00D57135">
      <w:pPr>
        <w:rPr>
          <w:rFonts w:ascii="Garamond" w:hAnsi="Garamond"/>
          <w:b/>
          <w:bCs/>
        </w:rPr>
      </w:pPr>
    </w:p>
    <w:sectPr w:rsidR="00D57135" w:rsidSect="000438C5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D4" w:rsidRDefault="004038D4">
      <w:r>
        <w:separator/>
      </w:r>
    </w:p>
  </w:endnote>
  <w:endnote w:type="continuationSeparator" w:id="0">
    <w:p w:rsidR="004038D4" w:rsidRDefault="0040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4" w:rsidRDefault="004038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8D4" w:rsidRDefault="004038D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4" w:rsidRDefault="004038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1CBE">
      <w:rPr>
        <w:rStyle w:val="slostrnky"/>
        <w:noProof/>
      </w:rPr>
      <w:t>2</w:t>
    </w:r>
    <w:r>
      <w:rPr>
        <w:rStyle w:val="slostrnky"/>
      </w:rPr>
      <w:fldChar w:fldCharType="end"/>
    </w:r>
  </w:p>
  <w:p w:rsidR="004038D4" w:rsidRDefault="004038D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D4" w:rsidRDefault="004038D4">
      <w:r>
        <w:separator/>
      </w:r>
    </w:p>
  </w:footnote>
  <w:footnote w:type="continuationSeparator" w:id="0">
    <w:p w:rsidR="004038D4" w:rsidRDefault="00403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7A1"/>
    <w:multiLevelType w:val="hybridMultilevel"/>
    <w:tmpl w:val="A79C81F4"/>
    <w:lvl w:ilvl="0" w:tplc="6F7086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1435F"/>
    <w:multiLevelType w:val="hybridMultilevel"/>
    <w:tmpl w:val="DDFEF04A"/>
    <w:lvl w:ilvl="0" w:tplc="B9C8AEB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F4A7BAC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67C6123"/>
    <w:multiLevelType w:val="hybridMultilevel"/>
    <w:tmpl w:val="8828DD70"/>
    <w:lvl w:ilvl="0" w:tplc="1D220E6E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FA4FC5C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6FA5C82"/>
    <w:multiLevelType w:val="hybridMultilevel"/>
    <w:tmpl w:val="B540E190"/>
    <w:lvl w:ilvl="0" w:tplc="2EE6859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9F0A05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81004D8"/>
    <w:multiLevelType w:val="hybridMultilevel"/>
    <w:tmpl w:val="C9A69614"/>
    <w:lvl w:ilvl="0" w:tplc="ADA2B14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BD7606D"/>
    <w:multiLevelType w:val="hybridMultilevel"/>
    <w:tmpl w:val="27A41802"/>
    <w:lvl w:ilvl="0" w:tplc="0688CD04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4BE6A3C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0D023AFD"/>
    <w:multiLevelType w:val="hybridMultilevel"/>
    <w:tmpl w:val="256E409C"/>
    <w:lvl w:ilvl="0" w:tplc="070E0FEA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96A2700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E9D51FE"/>
    <w:multiLevelType w:val="hybridMultilevel"/>
    <w:tmpl w:val="35DC8E5E"/>
    <w:lvl w:ilvl="0" w:tplc="ECE0F46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314D8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207D4"/>
    <w:multiLevelType w:val="hybridMultilevel"/>
    <w:tmpl w:val="01626002"/>
    <w:lvl w:ilvl="0" w:tplc="5AA00F9E">
      <w:start w:val="1"/>
      <w:numFmt w:val="decimal"/>
      <w:lvlText w:val="(%1)"/>
      <w:lvlJc w:val="left"/>
      <w:pPr>
        <w:tabs>
          <w:tab w:val="num" w:pos="1006"/>
        </w:tabs>
        <w:ind w:left="1006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9">
    <w:nsid w:val="10985191"/>
    <w:multiLevelType w:val="hybridMultilevel"/>
    <w:tmpl w:val="D42068F6"/>
    <w:lvl w:ilvl="0" w:tplc="5AA00F9E">
      <w:start w:val="1"/>
      <w:numFmt w:val="decimal"/>
      <w:lvlText w:val="(%1)"/>
      <w:lvlJc w:val="left"/>
      <w:pPr>
        <w:tabs>
          <w:tab w:val="num" w:pos="1428"/>
        </w:tabs>
        <w:ind w:left="1428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10">
    <w:nsid w:val="118124EA"/>
    <w:multiLevelType w:val="hybridMultilevel"/>
    <w:tmpl w:val="8AAC52CA"/>
    <w:lvl w:ilvl="0" w:tplc="5AA00F9E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4E1A89C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6691C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422741"/>
    <w:multiLevelType w:val="hybridMultilevel"/>
    <w:tmpl w:val="DF5A3DFA"/>
    <w:lvl w:ilvl="0" w:tplc="45789B64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82E44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9F0139"/>
    <w:multiLevelType w:val="hybridMultilevel"/>
    <w:tmpl w:val="0AF60416"/>
    <w:lvl w:ilvl="0" w:tplc="370C567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C0ADE7C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6FE6745"/>
    <w:multiLevelType w:val="hybridMultilevel"/>
    <w:tmpl w:val="F892AF9A"/>
    <w:lvl w:ilvl="0" w:tplc="00AAE76E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9790652"/>
    <w:multiLevelType w:val="hybridMultilevel"/>
    <w:tmpl w:val="C62C3550"/>
    <w:lvl w:ilvl="0" w:tplc="828CC6B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E446417"/>
    <w:multiLevelType w:val="hybridMultilevel"/>
    <w:tmpl w:val="D328544E"/>
    <w:lvl w:ilvl="0" w:tplc="5AA00F9E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645786B"/>
    <w:multiLevelType w:val="hybridMultilevel"/>
    <w:tmpl w:val="134A6FD0"/>
    <w:lvl w:ilvl="0" w:tplc="F23EB958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17"/>
  </w:num>
  <w:num w:numId="11">
    <w:abstractNumId w:val="14"/>
  </w:num>
  <w:num w:numId="12">
    <w:abstractNumId w:val="18"/>
  </w:num>
  <w:num w:numId="13">
    <w:abstractNumId w:val="2"/>
  </w:num>
  <w:num w:numId="14">
    <w:abstractNumId w:val="5"/>
  </w:num>
  <w:num w:numId="15">
    <w:abstractNumId w:val="1"/>
  </w:num>
  <w:num w:numId="16">
    <w:abstractNumId w:val="16"/>
  </w:num>
  <w:num w:numId="17">
    <w:abstractNumId w:val="15"/>
  </w:num>
  <w:num w:numId="18">
    <w:abstractNumId w:val="0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031"/>
    <w:rsid w:val="000438C5"/>
    <w:rsid w:val="000C1AD4"/>
    <w:rsid w:val="00105B53"/>
    <w:rsid w:val="00341B70"/>
    <w:rsid w:val="004038D4"/>
    <w:rsid w:val="00564D47"/>
    <w:rsid w:val="0059062A"/>
    <w:rsid w:val="00737B18"/>
    <w:rsid w:val="0075512F"/>
    <w:rsid w:val="00801CBE"/>
    <w:rsid w:val="008A5031"/>
    <w:rsid w:val="008A70BD"/>
    <w:rsid w:val="00941AB9"/>
    <w:rsid w:val="00A95907"/>
    <w:rsid w:val="00B22EE9"/>
    <w:rsid w:val="00B7715B"/>
    <w:rsid w:val="00CB6590"/>
    <w:rsid w:val="00D50E61"/>
    <w:rsid w:val="00D57135"/>
    <w:rsid w:val="00F1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C5"/>
    <w:rPr>
      <w:sz w:val="24"/>
      <w:szCs w:val="24"/>
    </w:rPr>
  </w:style>
  <w:style w:type="paragraph" w:styleId="Nadpis1">
    <w:name w:val="heading 1"/>
    <w:basedOn w:val="Normln"/>
    <w:next w:val="Normln"/>
    <w:qFormat/>
    <w:rsid w:val="000438C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438C5"/>
    <w:pPr>
      <w:keepNext/>
      <w:jc w:val="center"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438C5"/>
    <w:pPr>
      <w:jc w:val="both"/>
    </w:pPr>
  </w:style>
  <w:style w:type="paragraph" w:styleId="Zkladntext2">
    <w:name w:val="Body Text 2"/>
    <w:basedOn w:val="Normln"/>
    <w:semiHidden/>
    <w:rsid w:val="000438C5"/>
    <w:rPr>
      <w:b/>
      <w:bCs/>
    </w:rPr>
  </w:style>
  <w:style w:type="paragraph" w:styleId="Zpat">
    <w:name w:val="footer"/>
    <w:basedOn w:val="Normln"/>
    <w:semiHidden/>
    <w:rsid w:val="000438C5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semiHidden/>
    <w:rsid w:val="000438C5"/>
  </w:style>
  <w:style w:type="paragraph" w:customStyle="1" w:styleId="1odstavec">
    <w:name w:val="(1) odstavec"/>
    <w:basedOn w:val="Normln"/>
    <w:link w:val="1odstavecChar"/>
    <w:qFormat/>
    <w:rsid w:val="00D57135"/>
    <w:rPr>
      <w:rFonts w:ascii="Garamond" w:hAnsi="Garamon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15B"/>
    <w:rPr>
      <w:rFonts w:ascii="Tahoma" w:hAnsi="Tahoma" w:cs="Tahoma"/>
      <w:sz w:val="16"/>
      <w:szCs w:val="16"/>
    </w:rPr>
  </w:style>
  <w:style w:type="character" w:customStyle="1" w:styleId="1odstavecChar">
    <w:name w:val="(1) odstavec Char"/>
    <w:basedOn w:val="Standardnpsmoodstavce"/>
    <w:link w:val="1odstavec"/>
    <w:rsid w:val="00D57135"/>
    <w:rPr>
      <w:rFonts w:ascii="Garamond" w:hAnsi="Garamond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1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7B18"/>
    <w:pPr>
      <w:ind w:left="720"/>
      <w:contextualSpacing/>
    </w:pPr>
  </w:style>
  <w:style w:type="paragraph" w:customStyle="1" w:styleId="proklad">
    <w:name w:val="proklad"/>
    <w:basedOn w:val="Normln"/>
    <w:autoRedefine/>
    <w:qFormat/>
    <w:rsid w:val="00D50E61"/>
    <w:pPr>
      <w:tabs>
        <w:tab w:val="left" w:pos="1985"/>
        <w:tab w:val="left" w:pos="5529"/>
      </w:tabs>
      <w:spacing w:after="200" w:line="276" w:lineRule="auto"/>
      <w:jc w:val="center"/>
    </w:pPr>
    <w:rPr>
      <w:rFonts w:ascii="Garamond" w:eastAsiaTheme="minorEastAsia" w:hAnsi="Garamond" w:cstheme="minorBidi"/>
      <w:spacing w:val="4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4267-F19F-4BEA-AE93-06DBE076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PRVNÍ</vt:lpstr>
    </vt:vector>
  </TitlesOfParts>
  <Company>Vcela S.D.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PRVNÍ</dc:title>
  <dc:creator>Administrator</dc:creator>
  <cp:lastModifiedBy>Mgr. Martin Drtina</cp:lastModifiedBy>
  <cp:revision>4</cp:revision>
  <cp:lastPrinted>2013-05-31T20:15:00Z</cp:lastPrinted>
  <dcterms:created xsi:type="dcterms:W3CDTF">2013-06-13T21:20:00Z</dcterms:created>
  <dcterms:modified xsi:type="dcterms:W3CDTF">2013-06-13T21:57:00Z</dcterms:modified>
</cp:coreProperties>
</file>